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CB4" w:rsidRPr="003715A8" w:rsidRDefault="00533CB4" w:rsidP="00533CB4">
      <w:pPr>
        <w:jc w:val="center"/>
        <w:rPr>
          <w:rFonts w:ascii="Arial" w:hAnsi="Arial" w:cs="Arial"/>
          <w:b/>
          <w:caps/>
          <w:sz w:val="40"/>
          <w:szCs w:val="40"/>
        </w:rPr>
      </w:pPr>
      <w:bookmarkStart w:id="0" w:name="_GoBack"/>
      <w:bookmarkEnd w:id="0"/>
      <w:r w:rsidRPr="003715A8">
        <w:rPr>
          <w:rFonts w:ascii="Arial" w:hAnsi="Arial" w:cs="Arial"/>
          <w:b/>
          <w:caps/>
          <w:sz w:val="40"/>
          <w:szCs w:val="40"/>
        </w:rPr>
        <w:t xml:space="preserve">New </w:t>
      </w:r>
      <w:r w:rsidR="00B5226C">
        <w:rPr>
          <w:rFonts w:ascii="Arial" w:hAnsi="Arial" w:cs="Arial"/>
          <w:b/>
          <w:caps/>
          <w:sz w:val="40"/>
          <w:szCs w:val="40"/>
        </w:rPr>
        <w:t xml:space="preserve">legislation </w:t>
      </w:r>
      <w:r w:rsidRPr="003715A8">
        <w:rPr>
          <w:rFonts w:ascii="Arial" w:hAnsi="Arial" w:cs="Arial"/>
          <w:b/>
          <w:caps/>
          <w:sz w:val="40"/>
          <w:szCs w:val="40"/>
        </w:rPr>
        <w:t xml:space="preserve">for Commissioner </w:t>
      </w:r>
    </w:p>
    <w:p w:rsidR="00533CB4" w:rsidRPr="00223449" w:rsidRDefault="003715A8" w:rsidP="00533CB4">
      <w:pPr>
        <w:jc w:val="center"/>
        <w:rPr>
          <w:rFonts w:ascii="Franklin Gothic Book" w:hAnsi="Franklin Gothic Book"/>
          <w:caps/>
          <w:szCs w:val="22"/>
        </w:rPr>
      </w:pPr>
      <w:r>
        <w:rPr>
          <w:rFonts w:ascii="Franklin Gothic Book" w:hAnsi="Franklin Gothic Book"/>
          <w:caps/>
          <w:szCs w:val="22"/>
        </w:rPr>
        <w:t>1</w:t>
      </w:r>
      <w:r w:rsidR="00F82BF1">
        <w:rPr>
          <w:rFonts w:ascii="Franklin Gothic Book" w:hAnsi="Franklin Gothic Book"/>
          <w:caps/>
          <w:szCs w:val="22"/>
        </w:rPr>
        <w:t>8</w:t>
      </w:r>
      <w:r>
        <w:rPr>
          <w:rFonts w:ascii="Franklin Gothic Book" w:hAnsi="Franklin Gothic Book"/>
          <w:caps/>
          <w:szCs w:val="22"/>
        </w:rPr>
        <w:t>/7/2016</w:t>
      </w:r>
    </w:p>
    <w:p w:rsidR="00533CB4" w:rsidRPr="00223449" w:rsidRDefault="00533CB4" w:rsidP="00533CB4">
      <w:pPr>
        <w:rPr>
          <w:rFonts w:ascii="Franklin Gothic Book" w:hAnsi="Franklin Gothic Book"/>
          <w:szCs w:val="22"/>
        </w:rPr>
      </w:pPr>
    </w:p>
    <w:p w:rsidR="00533CB4" w:rsidRDefault="00533CB4" w:rsidP="00533CB4">
      <w:pPr>
        <w:spacing w:line="276" w:lineRule="auto"/>
        <w:rPr>
          <w:rFonts w:cstheme="minorHAnsi"/>
          <w:szCs w:val="22"/>
        </w:rPr>
      </w:pPr>
      <w:r w:rsidRPr="003715A8">
        <w:rPr>
          <w:rFonts w:cstheme="minorHAnsi"/>
          <w:szCs w:val="22"/>
        </w:rPr>
        <w:t xml:space="preserve">The Commissioner for Children, Mark Morrissey </w:t>
      </w:r>
      <w:r w:rsidR="00FB6433">
        <w:rPr>
          <w:rFonts w:cstheme="minorHAnsi"/>
          <w:szCs w:val="22"/>
        </w:rPr>
        <w:t xml:space="preserve">has </w:t>
      </w:r>
      <w:r w:rsidRPr="003715A8">
        <w:rPr>
          <w:rFonts w:cstheme="minorHAnsi"/>
          <w:szCs w:val="22"/>
        </w:rPr>
        <w:t xml:space="preserve">welcomed the commencement of the </w:t>
      </w:r>
      <w:r w:rsidRPr="003715A8">
        <w:rPr>
          <w:rFonts w:cstheme="minorHAnsi"/>
          <w:i/>
          <w:szCs w:val="22"/>
        </w:rPr>
        <w:t>Commissioner for Children and Young People Act 2016</w:t>
      </w:r>
      <w:r w:rsidR="00FB6433">
        <w:rPr>
          <w:rFonts w:cstheme="minorHAnsi"/>
          <w:szCs w:val="22"/>
        </w:rPr>
        <w:t>.</w:t>
      </w:r>
    </w:p>
    <w:p w:rsidR="00B5226C" w:rsidRPr="003715A8" w:rsidRDefault="00B5226C" w:rsidP="00533CB4">
      <w:pPr>
        <w:spacing w:line="276" w:lineRule="auto"/>
        <w:rPr>
          <w:rFonts w:cstheme="minorHAnsi"/>
          <w:szCs w:val="22"/>
        </w:rPr>
      </w:pPr>
    </w:p>
    <w:p w:rsidR="00B5226C" w:rsidRPr="003715A8" w:rsidRDefault="00B5226C" w:rsidP="00B5226C">
      <w:pPr>
        <w:spacing w:line="276" w:lineRule="auto"/>
        <w:rPr>
          <w:rFonts w:cstheme="minorHAnsi"/>
          <w:szCs w:val="22"/>
        </w:rPr>
      </w:pPr>
      <w:r w:rsidRPr="003715A8">
        <w:rPr>
          <w:rFonts w:cstheme="minorHAnsi"/>
          <w:szCs w:val="22"/>
        </w:rPr>
        <w:t xml:space="preserve">“The </w:t>
      </w:r>
      <w:r>
        <w:rPr>
          <w:rFonts w:cstheme="minorHAnsi"/>
          <w:szCs w:val="22"/>
        </w:rPr>
        <w:t xml:space="preserve">new </w:t>
      </w:r>
      <w:r w:rsidRPr="003715A8">
        <w:rPr>
          <w:rFonts w:cstheme="minorHAnsi"/>
          <w:szCs w:val="22"/>
        </w:rPr>
        <w:t xml:space="preserve">Act </w:t>
      </w:r>
      <w:r w:rsidR="00D552A0">
        <w:rPr>
          <w:rFonts w:cstheme="minorHAnsi"/>
          <w:szCs w:val="22"/>
        </w:rPr>
        <w:t>clarifies and strengthens the</w:t>
      </w:r>
      <w:r w:rsidRPr="003715A8">
        <w:rPr>
          <w:rFonts w:cstheme="minorHAnsi"/>
          <w:szCs w:val="22"/>
        </w:rPr>
        <w:t xml:space="preserve"> functions of </w:t>
      </w:r>
      <w:r w:rsidR="00D552A0">
        <w:rPr>
          <w:rFonts w:cstheme="minorHAnsi"/>
          <w:szCs w:val="22"/>
        </w:rPr>
        <w:t>the</w:t>
      </w:r>
      <w:r w:rsidRPr="003715A8">
        <w:rPr>
          <w:rFonts w:cstheme="minorHAnsi"/>
          <w:szCs w:val="22"/>
        </w:rPr>
        <w:t xml:space="preserve"> role,” Mr Morrissey said.</w:t>
      </w:r>
    </w:p>
    <w:p w:rsidR="00533CB4" w:rsidRPr="003715A8" w:rsidRDefault="00533CB4" w:rsidP="00533CB4">
      <w:pPr>
        <w:spacing w:line="276" w:lineRule="auto"/>
        <w:rPr>
          <w:rFonts w:cstheme="minorHAnsi"/>
          <w:szCs w:val="22"/>
        </w:rPr>
      </w:pPr>
    </w:p>
    <w:p w:rsidR="00533CB4" w:rsidRPr="003715A8" w:rsidRDefault="00533CB4" w:rsidP="00533CB4">
      <w:pPr>
        <w:spacing w:line="276" w:lineRule="auto"/>
        <w:rPr>
          <w:rFonts w:cstheme="minorHAnsi"/>
          <w:szCs w:val="22"/>
        </w:rPr>
      </w:pPr>
      <w:r w:rsidRPr="003715A8">
        <w:rPr>
          <w:rFonts w:cstheme="minorHAnsi"/>
          <w:szCs w:val="22"/>
        </w:rPr>
        <w:t>“Th</w:t>
      </w:r>
      <w:r w:rsidR="00D552A0">
        <w:rPr>
          <w:rFonts w:cstheme="minorHAnsi"/>
          <w:szCs w:val="22"/>
        </w:rPr>
        <w:t xml:space="preserve">is </w:t>
      </w:r>
      <w:r w:rsidRPr="003715A8">
        <w:rPr>
          <w:rFonts w:cstheme="minorHAnsi"/>
          <w:szCs w:val="22"/>
        </w:rPr>
        <w:t>Act makes it very clear that the Commissioner</w:t>
      </w:r>
      <w:r w:rsidR="00D552A0">
        <w:rPr>
          <w:rFonts w:cstheme="minorHAnsi"/>
          <w:szCs w:val="22"/>
        </w:rPr>
        <w:t>’s role</w:t>
      </w:r>
      <w:r w:rsidRPr="003715A8">
        <w:rPr>
          <w:rFonts w:cstheme="minorHAnsi"/>
          <w:szCs w:val="22"/>
        </w:rPr>
        <w:t xml:space="preserve"> is independent </w:t>
      </w:r>
      <w:r w:rsidR="00D552A0">
        <w:rPr>
          <w:rFonts w:cstheme="minorHAnsi"/>
          <w:szCs w:val="22"/>
        </w:rPr>
        <w:t xml:space="preserve">and </w:t>
      </w:r>
      <w:r w:rsidRPr="003715A8">
        <w:rPr>
          <w:rFonts w:cstheme="minorHAnsi"/>
          <w:szCs w:val="22"/>
        </w:rPr>
        <w:t xml:space="preserve">is responsible for promoting the rights and wellbeing </w:t>
      </w:r>
      <w:r w:rsidR="00EF277C" w:rsidRPr="003715A8">
        <w:rPr>
          <w:rFonts w:cstheme="minorHAnsi"/>
          <w:szCs w:val="22"/>
        </w:rPr>
        <w:t xml:space="preserve">of </w:t>
      </w:r>
      <w:r w:rsidR="00EF277C" w:rsidRPr="007D2B29">
        <w:rPr>
          <w:rFonts w:cstheme="minorHAnsi"/>
          <w:bCs/>
          <w:szCs w:val="22"/>
        </w:rPr>
        <w:t>children</w:t>
      </w:r>
      <w:r w:rsidRPr="003715A8">
        <w:rPr>
          <w:rFonts w:cstheme="minorHAnsi"/>
          <w:szCs w:val="22"/>
        </w:rPr>
        <w:t xml:space="preserve"> and young people in Tasmania,” Mr Morrissey said.</w:t>
      </w:r>
    </w:p>
    <w:p w:rsidR="00533CB4" w:rsidRPr="003715A8" w:rsidRDefault="00533CB4" w:rsidP="00533CB4">
      <w:pPr>
        <w:spacing w:line="276" w:lineRule="auto"/>
        <w:rPr>
          <w:rFonts w:cstheme="minorHAnsi"/>
          <w:szCs w:val="22"/>
        </w:rPr>
      </w:pPr>
    </w:p>
    <w:p w:rsidR="00533CB4" w:rsidRPr="003715A8" w:rsidRDefault="00533CB4" w:rsidP="00533CB4">
      <w:pPr>
        <w:spacing w:line="276" w:lineRule="auto"/>
        <w:rPr>
          <w:rFonts w:cstheme="minorHAnsi"/>
          <w:szCs w:val="22"/>
        </w:rPr>
      </w:pPr>
      <w:r w:rsidRPr="003715A8">
        <w:rPr>
          <w:rFonts w:cstheme="minorHAnsi"/>
          <w:szCs w:val="22"/>
        </w:rPr>
        <w:t>“I welcome these legislative changes which will allow me to continue to focus on working towards obtaining the best outcomes for Tasmania’s children and young people.”</w:t>
      </w:r>
    </w:p>
    <w:p w:rsidR="00533CB4" w:rsidRPr="003715A8" w:rsidRDefault="00533CB4" w:rsidP="00533CB4">
      <w:pPr>
        <w:spacing w:line="276" w:lineRule="auto"/>
        <w:rPr>
          <w:rFonts w:cstheme="minorHAnsi"/>
          <w:szCs w:val="22"/>
        </w:rPr>
      </w:pPr>
    </w:p>
    <w:p w:rsidR="00533CB4" w:rsidRPr="003715A8" w:rsidRDefault="00533CB4" w:rsidP="00533CB4">
      <w:pPr>
        <w:spacing w:after="150"/>
        <w:rPr>
          <w:rFonts w:cstheme="minorHAnsi"/>
          <w:szCs w:val="22"/>
        </w:rPr>
      </w:pPr>
      <w:r w:rsidRPr="003715A8">
        <w:rPr>
          <w:rFonts w:cstheme="minorHAnsi"/>
          <w:szCs w:val="22"/>
        </w:rPr>
        <w:t xml:space="preserve">The key points of the Act </w:t>
      </w:r>
      <w:r w:rsidR="00D30B2C">
        <w:rPr>
          <w:rFonts w:cstheme="minorHAnsi"/>
          <w:szCs w:val="22"/>
        </w:rPr>
        <w:t>include</w:t>
      </w:r>
      <w:r w:rsidRPr="003715A8">
        <w:rPr>
          <w:rFonts w:cstheme="minorHAnsi"/>
          <w:szCs w:val="22"/>
        </w:rPr>
        <w:t xml:space="preserve">: </w:t>
      </w:r>
    </w:p>
    <w:p w:rsidR="00533CB4" w:rsidRPr="003715A8" w:rsidRDefault="00533CB4" w:rsidP="00533CB4">
      <w:pPr>
        <w:pStyle w:val="ListParagraph"/>
        <w:numPr>
          <w:ilvl w:val="0"/>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changes the name of the role to the Commissioner for Children and Young People </w:t>
      </w:r>
      <w:r w:rsidR="00D30B2C">
        <w:rPr>
          <w:rFonts w:asciiTheme="minorHAnsi" w:hAnsiTheme="minorHAnsi" w:cstheme="minorHAnsi"/>
          <w:sz w:val="22"/>
          <w:szCs w:val="22"/>
        </w:rPr>
        <w:t>and</w:t>
      </w:r>
      <w:r w:rsidRPr="003715A8">
        <w:rPr>
          <w:rFonts w:asciiTheme="minorHAnsi" w:hAnsiTheme="minorHAnsi" w:cstheme="minorHAnsi"/>
          <w:sz w:val="22"/>
          <w:szCs w:val="22"/>
        </w:rPr>
        <w:t xml:space="preserve"> emphasises that the Commissioner is a</w:t>
      </w:r>
      <w:r w:rsidR="00D552A0">
        <w:rPr>
          <w:rFonts w:asciiTheme="minorHAnsi" w:hAnsiTheme="minorHAnsi" w:cstheme="minorHAnsi"/>
          <w:sz w:val="22"/>
          <w:szCs w:val="22"/>
        </w:rPr>
        <w:t>n independent</w:t>
      </w:r>
      <w:r w:rsidRPr="003715A8">
        <w:rPr>
          <w:rFonts w:asciiTheme="minorHAnsi" w:hAnsiTheme="minorHAnsi" w:cstheme="minorHAnsi"/>
          <w:sz w:val="22"/>
          <w:szCs w:val="22"/>
        </w:rPr>
        <w:t xml:space="preserve"> voice for all Tasmanians aged under 18 years. </w:t>
      </w:r>
    </w:p>
    <w:p w:rsidR="00533CB4" w:rsidRPr="003715A8" w:rsidRDefault="00533CB4" w:rsidP="00533CB4">
      <w:pPr>
        <w:pStyle w:val="ListParagraph"/>
        <w:numPr>
          <w:ilvl w:val="0"/>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w:t>
      </w:r>
      <w:r w:rsidR="00D552A0">
        <w:rPr>
          <w:rFonts w:asciiTheme="minorHAnsi" w:hAnsiTheme="minorHAnsi" w:cstheme="minorHAnsi"/>
          <w:sz w:val="22"/>
          <w:szCs w:val="22"/>
        </w:rPr>
        <w:t xml:space="preserve">actively </w:t>
      </w:r>
      <w:r w:rsidRPr="003715A8">
        <w:rPr>
          <w:rFonts w:asciiTheme="minorHAnsi" w:hAnsiTheme="minorHAnsi" w:cstheme="minorHAnsi"/>
          <w:sz w:val="22"/>
          <w:szCs w:val="22"/>
        </w:rPr>
        <w:t>promotes the right of children to participate in decisions that affect them, and for their views to be taken into account</w:t>
      </w:r>
    </w:p>
    <w:p w:rsidR="00533CB4" w:rsidRPr="003715A8" w:rsidRDefault="00533CB4" w:rsidP="00533CB4">
      <w:pPr>
        <w:pStyle w:val="ListParagraph"/>
        <w:numPr>
          <w:ilvl w:val="1"/>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The legislation includes specific functions around promoting children’s participation.</w:t>
      </w:r>
    </w:p>
    <w:p w:rsidR="00533CB4" w:rsidRPr="003715A8" w:rsidRDefault="00533CB4" w:rsidP="00533CB4">
      <w:pPr>
        <w:pStyle w:val="ListParagraph"/>
        <w:numPr>
          <w:ilvl w:val="0"/>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retains and provides greater clarity around the individual advocacy role for young detainees under the </w:t>
      </w:r>
      <w:r w:rsidRPr="003715A8">
        <w:rPr>
          <w:rFonts w:asciiTheme="minorHAnsi" w:hAnsiTheme="minorHAnsi" w:cstheme="minorHAnsi"/>
          <w:i/>
          <w:sz w:val="22"/>
          <w:szCs w:val="22"/>
        </w:rPr>
        <w:t>Youth Justice Act 1997</w:t>
      </w:r>
    </w:p>
    <w:p w:rsidR="00533CB4" w:rsidRPr="003715A8" w:rsidRDefault="00533CB4" w:rsidP="00533CB4">
      <w:pPr>
        <w:pStyle w:val="ListParagraph"/>
        <w:numPr>
          <w:ilvl w:val="1"/>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The advocacy role for those young people in custody </w:t>
      </w:r>
      <w:r w:rsidR="00EF277C" w:rsidRPr="003715A8">
        <w:rPr>
          <w:rFonts w:asciiTheme="minorHAnsi" w:hAnsiTheme="minorHAnsi" w:cstheme="minorHAnsi"/>
          <w:sz w:val="22"/>
          <w:szCs w:val="22"/>
        </w:rPr>
        <w:t>is important</w:t>
      </w:r>
      <w:r w:rsidRPr="003715A8">
        <w:rPr>
          <w:rFonts w:asciiTheme="minorHAnsi" w:hAnsiTheme="minorHAnsi" w:cstheme="minorHAnsi"/>
          <w:sz w:val="22"/>
          <w:szCs w:val="22"/>
        </w:rPr>
        <w:t>. The legislation will provide greater guidance on the way this role is to be fulfilled.</w:t>
      </w:r>
    </w:p>
    <w:p w:rsidR="00533CB4" w:rsidRPr="003715A8" w:rsidRDefault="00533CB4" w:rsidP="00533CB4">
      <w:pPr>
        <w:pStyle w:val="ListParagraph"/>
        <w:numPr>
          <w:ilvl w:val="0"/>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firmly places the Commissioner’s role within a child rights framework.  </w:t>
      </w:r>
    </w:p>
    <w:p w:rsidR="00533CB4" w:rsidRPr="003715A8" w:rsidRDefault="00533CB4" w:rsidP="00533CB4">
      <w:pPr>
        <w:pStyle w:val="ListParagraph"/>
        <w:numPr>
          <w:ilvl w:val="1"/>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The key principles in the Act acknowledge the importance of the provisions of the UN Convention on the Rights of the Child (e.g. children’s best interests, right to be heard, right to live free from harm, and the family’s fundamental role in safeguarding and promoting children’s well-being).</w:t>
      </w:r>
    </w:p>
    <w:p w:rsidR="00533CB4" w:rsidRPr="003715A8" w:rsidRDefault="00533CB4" w:rsidP="00533CB4">
      <w:pPr>
        <w:pStyle w:val="ListParagraph"/>
        <w:numPr>
          <w:ilvl w:val="0"/>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strengthens the Commissioner’s </w:t>
      </w:r>
      <w:r w:rsidR="00D552A0">
        <w:rPr>
          <w:rFonts w:asciiTheme="minorHAnsi" w:hAnsiTheme="minorHAnsi" w:cstheme="minorHAnsi"/>
          <w:sz w:val="22"/>
          <w:szCs w:val="22"/>
        </w:rPr>
        <w:t>ability</w:t>
      </w:r>
      <w:r w:rsidRPr="003715A8">
        <w:rPr>
          <w:rFonts w:asciiTheme="minorHAnsi" w:hAnsiTheme="minorHAnsi" w:cstheme="minorHAnsi"/>
          <w:sz w:val="22"/>
          <w:szCs w:val="22"/>
        </w:rPr>
        <w:t xml:space="preserve"> to obtain information</w:t>
      </w:r>
      <w:r w:rsidR="00D552A0">
        <w:rPr>
          <w:rFonts w:asciiTheme="minorHAnsi" w:hAnsiTheme="minorHAnsi" w:cstheme="minorHAnsi"/>
          <w:sz w:val="22"/>
          <w:szCs w:val="22"/>
        </w:rPr>
        <w:t>.</w:t>
      </w:r>
      <w:r w:rsidRPr="003715A8">
        <w:rPr>
          <w:rFonts w:asciiTheme="minorHAnsi" w:hAnsiTheme="minorHAnsi" w:cstheme="minorHAnsi"/>
          <w:sz w:val="22"/>
          <w:szCs w:val="22"/>
        </w:rPr>
        <w:t xml:space="preserve"> </w:t>
      </w:r>
    </w:p>
    <w:p w:rsidR="00F76156" w:rsidRPr="00F76156" w:rsidRDefault="00F76156" w:rsidP="00F76156">
      <w:pPr>
        <w:spacing w:before="100" w:beforeAutospacing="1" w:after="120" w:line="276" w:lineRule="auto"/>
        <w:rPr>
          <w:rFonts w:cstheme="minorHAnsi"/>
          <w:szCs w:val="22"/>
        </w:rPr>
      </w:pPr>
    </w:p>
    <w:p w:rsidR="00F76156" w:rsidRDefault="00F76156" w:rsidP="00F76156">
      <w:pPr>
        <w:pStyle w:val="ListParagraph"/>
        <w:spacing w:before="100" w:beforeAutospacing="1" w:after="120" w:line="276" w:lineRule="auto"/>
        <w:ind w:left="1443"/>
        <w:rPr>
          <w:rFonts w:asciiTheme="minorHAnsi" w:hAnsiTheme="minorHAnsi" w:cstheme="minorHAnsi"/>
          <w:sz w:val="22"/>
          <w:szCs w:val="22"/>
        </w:rPr>
      </w:pPr>
    </w:p>
    <w:p w:rsidR="00F76156" w:rsidRDefault="00F76156" w:rsidP="00F76156">
      <w:pPr>
        <w:pStyle w:val="ListParagraph"/>
        <w:spacing w:before="100" w:beforeAutospacing="1" w:after="120" w:line="276" w:lineRule="auto"/>
        <w:ind w:left="1443"/>
        <w:rPr>
          <w:rFonts w:asciiTheme="minorHAnsi" w:hAnsiTheme="minorHAnsi" w:cstheme="minorHAnsi"/>
          <w:sz w:val="22"/>
          <w:szCs w:val="22"/>
        </w:rPr>
      </w:pPr>
    </w:p>
    <w:p w:rsidR="005B3306" w:rsidRDefault="005B3306" w:rsidP="005B3306">
      <w:pPr>
        <w:pStyle w:val="ListParagraph"/>
        <w:spacing w:before="360" w:after="120" w:line="276" w:lineRule="auto"/>
        <w:ind w:left="1440"/>
        <w:rPr>
          <w:rFonts w:asciiTheme="minorHAnsi" w:hAnsiTheme="minorHAnsi" w:cstheme="minorHAnsi"/>
          <w:sz w:val="22"/>
          <w:szCs w:val="22"/>
        </w:rPr>
      </w:pPr>
    </w:p>
    <w:p w:rsidR="005B3306" w:rsidRDefault="005B3306" w:rsidP="005B3306">
      <w:pPr>
        <w:pStyle w:val="ListParagraph"/>
        <w:spacing w:before="360" w:after="120" w:line="276" w:lineRule="auto"/>
        <w:ind w:left="1440"/>
        <w:rPr>
          <w:rFonts w:asciiTheme="minorHAnsi" w:hAnsiTheme="minorHAnsi" w:cstheme="minorHAnsi"/>
          <w:sz w:val="22"/>
          <w:szCs w:val="22"/>
        </w:rPr>
      </w:pPr>
    </w:p>
    <w:p w:rsidR="005B3306" w:rsidRDefault="005B3306" w:rsidP="005B3306">
      <w:pPr>
        <w:pStyle w:val="ListParagraph"/>
        <w:spacing w:before="360" w:after="120" w:line="276" w:lineRule="auto"/>
        <w:ind w:left="1440"/>
        <w:rPr>
          <w:rFonts w:asciiTheme="minorHAnsi" w:hAnsiTheme="minorHAnsi" w:cstheme="minorHAnsi"/>
          <w:sz w:val="22"/>
          <w:szCs w:val="22"/>
        </w:rPr>
      </w:pPr>
    </w:p>
    <w:p w:rsidR="005B3306" w:rsidRDefault="005B3306" w:rsidP="005B3306">
      <w:pPr>
        <w:pStyle w:val="ListParagraph"/>
        <w:spacing w:before="360" w:after="120" w:line="276" w:lineRule="auto"/>
        <w:ind w:left="1440"/>
        <w:rPr>
          <w:rFonts w:asciiTheme="minorHAnsi" w:hAnsiTheme="minorHAnsi" w:cstheme="minorHAnsi"/>
          <w:sz w:val="22"/>
          <w:szCs w:val="22"/>
        </w:rPr>
      </w:pPr>
    </w:p>
    <w:p w:rsidR="005B3306" w:rsidRDefault="005B3306" w:rsidP="005B3306">
      <w:pPr>
        <w:pStyle w:val="ListParagraph"/>
        <w:spacing w:before="360" w:after="120" w:line="276" w:lineRule="auto"/>
        <w:ind w:left="1440"/>
        <w:rPr>
          <w:rFonts w:asciiTheme="minorHAnsi" w:hAnsiTheme="minorHAnsi" w:cstheme="minorHAnsi"/>
          <w:sz w:val="22"/>
          <w:szCs w:val="22"/>
        </w:rPr>
      </w:pPr>
    </w:p>
    <w:p w:rsidR="00533CB4" w:rsidRPr="003715A8" w:rsidRDefault="00533CB4" w:rsidP="00F76156">
      <w:pPr>
        <w:pStyle w:val="ListParagraph"/>
        <w:numPr>
          <w:ilvl w:val="1"/>
          <w:numId w:val="3"/>
        </w:numPr>
        <w:spacing w:before="360" w:after="120" w:line="276" w:lineRule="auto"/>
        <w:ind w:left="1440" w:hanging="357"/>
        <w:rPr>
          <w:rFonts w:asciiTheme="minorHAnsi" w:hAnsiTheme="minorHAnsi" w:cstheme="minorHAnsi"/>
          <w:sz w:val="22"/>
          <w:szCs w:val="22"/>
        </w:rPr>
      </w:pPr>
      <w:r w:rsidRPr="003715A8">
        <w:rPr>
          <w:rFonts w:asciiTheme="minorHAnsi" w:hAnsiTheme="minorHAnsi" w:cstheme="minorHAnsi"/>
          <w:sz w:val="22"/>
          <w:szCs w:val="22"/>
        </w:rPr>
        <w:t>The Commissioner will continue to work collaboratively across government and the community sector;</w:t>
      </w:r>
    </w:p>
    <w:p w:rsidR="00533CB4" w:rsidRPr="003715A8" w:rsidRDefault="00533CB4" w:rsidP="00533CB4">
      <w:pPr>
        <w:pStyle w:val="ListParagraph"/>
        <w:numPr>
          <w:ilvl w:val="1"/>
          <w:numId w:val="3"/>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The Commissioner’s power to access information and data has been clarified.</w:t>
      </w:r>
    </w:p>
    <w:p w:rsidR="00533CB4" w:rsidRPr="003715A8" w:rsidRDefault="00533CB4" w:rsidP="00533CB4">
      <w:pPr>
        <w:pStyle w:val="ListParagraph"/>
        <w:numPr>
          <w:ilvl w:val="0"/>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 xml:space="preserve">It provides a greater oversight role for </w:t>
      </w:r>
      <w:r w:rsidR="00B5226C">
        <w:rPr>
          <w:rFonts w:asciiTheme="minorHAnsi" w:hAnsiTheme="minorHAnsi" w:cstheme="minorHAnsi"/>
          <w:sz w:val="22"/>
          <w:szCs w:val="22"/>
        </w:rPr>
        <w:t xml:space="preserve">the health and wellbeing of </w:t>
      </w:r>
      <w:r w:rsidRPr="003715A8">
        <w:rPr>
          <w:rFonts w:asciiTheme="minorHAnsi" w:hAnsiTheme="minorHAnsi" w:cstheme="minorHAnsi"/>
          <w:sz w:val="22"/>
          <w:szCs w:val="22"/>
        </w:rPr>
        <w:t>all</w:t>
      </w:r>
      <w:r w:rsidR="00B5226C">
        <w:rPr>
          <w:rFonts w:asciiTheme="minorHAnsi" w:hAnsiTheme="minorHAnsi" w:cstheme="minorHAnsi"/>
          <w:sz w:val="22"/>
          <w:szCs w:val="22"/>
        </w:rPr>
        <w:t xml:space="preserve"> T</w:t>
      </w:r>
      <w:r w:rsidRPr="003715A8">
        <w:rPr>
          <w:rFonts w:asciiTheme="minorHAnsi" w:hAnsiTheme="minorHAnsi" w:cstheme="minorHAnsi"/>
          <w:sz w:val="22"/>
          <w:szCs w:val="22"/>
        </w:rPr>
        <w:t>asmanian children and young people.</w:t>
      </w:r>
    </w:p>
    <w:p w:rsidR="00533CB4" w:rsidRPr="003715A8" w:rsidRDefault="00533CB4" w:rsidP="00533CB4">
      <w:pPr>
        <w:pStyle w:val="ListParagraph"/>
        <w:numPr>
          <w:ilvl w:val="1"/>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Includes a monitoring function of children’s wellbeing.</w:t>
      </w:r>
    </w:p>
    <w:p w:rsidR="00533CB4" w:rsidRPr="003715A8" w:rsidRDefault="00533CB4" w:rsidP="00533CB4">
      <w:pPr>
        <w:pStyle w:val="ListParagraph"/>
        <w:numPr>
          <w:ilvl w:val="0"/>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Includes an ‘own motion’ power of inquiry</w:t>
      </w:r>
    </w:p>
    <w:p w:rsidR="00533CB4" w:rsidRPr="003715A8" w:rsidRDefault="00533CB4" w:rsidP="00533CB4">
      <w:pPr>
        <w:pStyle w:val="ListParagraph"/>
        <w:numPr>
          <w:ilvl w:val="1"/>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This means the Commissioner will be able to investigate a wide range of practices, policies, and services which impact on children or young people without needing to receive a specific request from the Minister.</w:t>
      </w:r>
    </w:p>
    <w:p w:rsidR="00533CB4" w:rsidRPr="003715A8" w:rsidRDefault="00533CB4" w:rsidP="00533CB4">
      <w:pPr>
        <w:pStyle w:val="ListParagraph"/>
        <w:numPr>
          <w:ilvl w:val="1"/>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The ‘own-motion’ power of inquiry significantly strengthens the independence of the Commissioner’s role.</w:t>
      </w:r>
    </w:p>
    <w:p w:rsidR="00533CB4" w:rsidRPr="003715A8" w:rsidRDefault="00533CB4" w:rsidP="00533CB4">
      <w:pPr>
        <w:pStyle w:val="ListParagraph"/>
        <w:numPr>
          <w:ilvl w:val="0"/>
          <w:numId w:val="4"/>
        </w:numPr>
        <w:spacing w:before="100" w:beforeAutospacing="1" w:after="120" w:line="276" w:lineRule="auto"/>
        <w:rPr>
          <w:rFonts w:asciiTheme="minorHAnsi" w:hAnsiTheme="minorHAnsi" w:cstheme="minorHAnsi"/>
          <w:sz w:val="22"/>
          <w:szCs w:val="22"/>
        </w:rPr>
      </w:pPr>
      <w:r w:rsidRPr="003715A8">
        <w:rPr>
          <w:rFonts w:asciiTheme="minorHAnsi" w:hAnsiTheme="minorHAnsi" w:cstheme="minorHAnsi"/>
          <w:sz w:val="22"/>
          <w:szCs w:val="22"/>
        </w:rPr>
        <w:t xml:space="preserve">It provides discretion </w:t>
      </w:r>
      <w:r w:rsidR="00D30B2C">
        <w:rPr>
          <w:rFonts w:asciiTheme="minorHAnsi" w:hAnsiTheme="minorHAnsi" w:cstheme="minorHAnsi"/>
          <w:sz w:val="22"/>
          <w:szCs w:val="22"/>
        </w:rPr>
        <w:t xml:space="preserve">for the </w:t>
      </w:r>
      <w:r w:rsidRPr="003715A8">
        <w:rPr>
          <w:rFonts w:asciiTheme="minorHAnsi" w:hAnsiTheme="minorHAnsi" w:cstheme="minorHAnsi"/>
          <w:sz w:val="22"/>
          <w:szCs w:val="22"/>
        </w:rPr>
        <w:t xml:space="preserve">Commissioner </w:t>
      </w:r>
      <w:r w:rsidR="00D30B2C">
        <w:rPr>
          <w:rFonts w:asciiTheme="minorHAnsi" w:hAnsiTheme="minorHAnsi" w:cstheme="minorHAnsi"/>
          <w:sz w:val="22"/>
          <w:szCs w:val="22"/>
        </w:rPr>
        <w:t xml:space="preserve">to decide </w:t>
      </w:r>
      <w:r w:rsidRPr="003715A8">
        <w:rPr>
          <w:rFonts w:asciiTheme="minorHAnsi" w:hAnsiTheme="minorHAnsi" w:cstheme="minorHAnsi"/>
          <w:sz w:val="22"/>
          <w:szCs w:val="22"/>
        </w:rPr>
        <w:t>how inquiries are conducted</w:t>
      </w:r>
    </w:p>
    <w:p w:rsidR="00533CB4" w:rsidRPr="003715A8" w:rsidRDefault="00533CB4" w:rsidP="00533CB4">
      <w:pPr>
        <w:pStyle w:val="ListParagraph"/>
        <w:numPr>
          <w:ilvl w:val="1"/>
          <w:numId w:val="1"/>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The Commissioner may hold public hearings or call for submissions but could also review matters privately.</w:t>
      </w:r>
    </w:p>
    <w:p w:rsidR="00533CB4" w:rsidRDefault="00533CB4" w:rsidP="00533CB4">
      <w:pPr>
        <w:pStyle w:val="ListParagraph"/>
        <w:numPr>
          <w:ilvl w:val="0"/>
          <w:numId w:val="2"/>
        </w:numPr>
        <w:spacing w:before="100" w:beforeAutospacing="1" w:after="120" w:line="276" w:lineRule="auto"/>
        <w:ind w:hanging="357"/>
        <w:rPr>
          <w:rFonts w:asciiTheme="minorHAnsi" w:hAnsiTheme="minorHAnsi" w:cstheme="minorHAnsi"/>
          <w:sz w:val="22"/>
          <w:szCs w:val="22"/>
        </w:rPr>
      </w:pPr>
      <w:r w:rsidRPr="003715A8">
        <w:rPr>
          <w:rFonts w:asciiTheme="minorHAnsi" w:hAnsiTheme="minorHAnsi" w:cstheme="minorHAnsi"/>
          <w:sz w:val="22"/>
          <w:szCs w:val="22"/>
        </w:rPr>
        <w:t>It retains the ability to investigate matters relating to individual children or young people if requested to do so by the Minister.</w:t>
      </w:r>
    </w:p>
    <w:p w:rsidR="00D30B2C" w:rsidRPr="00D30B2C" w:rsidRDefault="00D6127E" w:rsidP="00990DD3">
      <w:pPr>
        <w:spacing w:before="100" w:beforeAutospacing="1" w:after="120" w:line="276" w:lineRule="auto"/>
        <w:rPr>
          <w:rFonts w:cstheme="minorHAnsi"/>
          <w:szCs w:val="22"/>
        </w:rPr>
      </w:pPr>
      <w:r>
        <w:rPr>
          <w:rFonts w:cstheme="minorHAnsi"/>
          <w:szCs w:val="22"/>
        </w:rPr>
        <w:t xml:space="preserve">The Commissioner for Children and Young People Act 2016 can be found </w:t>
      </w:r>
      <w:hyperlink r:id="rId8" w:history="1">
        <w:r w:rsidRPr="00D6127E">
          <w:rPr>
            <w:rStyle w:val="Hyperlink"/>
            <w:rFonts w:cstheme="minorHAnsi"/>
            <w:szCs w:val="22"/>
          </w:rPr>
          <w:t>here</w:t>
        </w:r>
      </w:hyperlink>
      <w:r w:rsidR="0047644F">
        <w:rPr>
          <w:rFonts w:cstheme="minorHAnsi"/>
          <w:szCs w:val="22"/>
        </w:rPr>
        <w:t>.</w:t>
      </w:r>
      <w:r>
        <w:rPr>
          <w:rFonts w:cstheme="minorHAnsi"/>
          <w:szCs w:val="22"/>
        </w:rPr>
        <w:t xml:space="preserve"> </w:t>
      </w:r>
    </w:p>
    <w:p w:rsidR="00533CB4" w:rsidRDefault="00533CB4" w:rsidP="00533CB4">
      <w:pPr>
        <w:shd w:val="clear" w:color="auto" w:fill="FFFFFF"/>
        <w:rPr>
          <w:rFonts w:ascii="Franklin Gothic Book" w:hAnsi="Franklin Gothic Book"/>
          <w:szCs w:val="22"/>
        </w:rPr>
      </w:pPr>
    </w:p>
    <w:p w:rsidR="00533CB4" w:rsidRDefault="00533CB4" w:rsidP="00533CB4">
      <w:pPr>
        <w:shd w:val="clear" w:color="auto" w:fill="FFFFFF"/>
        <w:rPr>
          <w:rFonts w:ascii="Franklin Gothic Book" w:hAnsi="Franklin Gothic Book"/>
          <w:szCs w:val="22"/>
        </w:rPr>
      </w:pPr>
    </w:p>
    <w:p w:rsidR="00533CB4" w:rsidRDefault="00533CB4" w:rsidP="00533CB4">
      <w:pPr>
        <w:shd w:val="clear" w:color="auto" w:fill="FFFFFF"/>
        <w:rPr>
          <w:rFonts w:ascii="Franklin Gothic Book" w:hAnsi="Franklin Gothic Book"/>
          <w:szCs w:val="22"/>
        </w:rPr>
      </w:pPr>
    </w:p>
    <w:p w:rsidR="00533CB4" w:rsidRDefault="00533CB4" w:rsidP="00533CB4">
      <w:pPr>
        <w:shd w:val="clear" w:color="auto" w:fill="FFFFFF"/>
        <w:rPr>
          <w:rFonts w:ascii="Franklin Gothic Book" w:hAnsi="Franklin Gothic Book"/>
          <w:szCs w:val="22"/>
        </w:rPr>
      </w:pPr>
    </w:p>
    <w:p w:rsidR="00533CB4" w:rsidRDefault="00533CB4" w:rsidP="00533CB4">
      <w:pPr>
        <w:shd w:val="clear" w:color="auto" w:fill="FFFFFF"/>
        <w:rPr>
          <w:rFonts w:ascii="Franklin Gothic Book" w:hAnsi="Franklin Gothic Book"/>
          <w:szCs w:val="22"/>
        </w:rPr>
      </w:pPr>
    </w:p>
    <w:p w:rsidR="00533CB4" w:rsidRPr="001447B8" w:rsidRDefault="00533CB4" w:rsidP="00533CB4">
      <w:pPr>
        <w:spacing w:before="120" w:after="120"/>
        <w:jc w:val="center"/>
        <w:rPr>
          <w:rFonts w:cstheme="minorHAnsi"/>
          <w:b/>
          <w:bCs/>
          <w:sz w:val="20"/>
          <w:szCs w:val="20"/>
        </w:rPr>
      </w:pPr>
      <w:r w:rsidRPr="001447B8">
        <w:rPr>
          <w:rFonts w:cstheme="minorHAnsi"/>
          <w:b/>
          <w:bCs/>
          <w:sz w:val="20"/>
          <w:szCs w:val="20"/>
        </w:rPr>
        <w:t>Catherine Clemens</w:t>
      </w:r>
    </w:p>
    <w:p w:rsidR="00533CB4" w:rsidRPr="001447B8" w:rsidRDefault="00533CB4" w:rsidP="00533CB4">
      <w:pPr>
        <w:spacing w:before="120" w:after="120"/>
        <w:jc w:val="center"/>
        <w:rPr>
          <w:rFonts w:cstheme="minorHAnsi"/>
          <w:sz w:val="20"/>
          <w:szCs w:val="20"/>
        </w:rPr>
      </w:pPr>
      <w:r w:rsidRPr="001447B8">
        <w:rPr>
          <w:rFonts w:cstheme="minorHAnsi"/>
          <w:sz w:val="20"/>
          <w:szCs w:val="20"/>
        </w:rPr>
        <w:t>Manager Communications and Participation</w:t>
      </w:r>
    </w:p>
    <w:p w:rsidR="00533CB4" w:rsidRPr="001447B8" w:rsidRDefault="00533CB4" w:rsidP="00533CB4">
      <w:pPr>
        <w:spacing w:before="120" w:after="120"/>
        <w:jc w:val="center"/>
        <w:rPr>
          <w:rFonts w:cstheme="minorHAnsi"/>
          <w:szCs w:val="22"/>
        </w:rPr>
      </w:pPr>
      <w:r w:rsidRPr="001447B8">
        <w:rPr>
          <w:rFonts w:cstheme="minorHAnsi"/>
          <w:sz w:val="20"/>
          <w:szCs w:val="20"/>
        </w:rPr>
        <w:t>Commissioner for Children</w:t>
      </w:r>
      <w:r w:rsidR="00B37E24">
        <w:rPr>
          <w:rFonts w:cstheme="minorHAnsi"/>
          <w:sz w:val="20"/>
          <w:szCs w:val="20"/>
        </w:rPr>
        <w:t xml:space="preserve"> and Young People </w:t>
      </w:r>
      <w:r w:rsidRPr="001447B8">
        <w:rPr>
          <w:rFonts w:cstheme="minorHAnsi"/>
          <w:sz w:val="20"/>
          <w:szCs w:val="20"/>
        </w:rPr>
        <w:t>(Tas)</w:t>
      </w:r>
    </w:p>
    <w:p w:rsidR="00533CB4" w:rsidRPr="001447B8" w:rsidRDefault="00533CB4" w:rsidP="00533CB4">
      <w:pPr>
        <w:spacing w:before="120" w:after="120"/>
        <w:jc w:val="center"/>
        <w:rPr>
          <w:rFonts w:cstheme="minorHAnsi"/>
        </w:rPr>
      </w:pPr>
      <w:r w:rsidRPr="001447B8">
        <w:rPr>
          <w:rFonts w:cstheme="minorHAnsi"/>
          <w:sz w:val="20"/>
          <w:szCs w:val="20"/>
        </w:rPr>
        <w:t xml:space="preserve">E:  </w:t>
      </w:r>
      <w:hyperlink r:id="rId9" w:history="1">
        <w:r w:rsidRPr="001447B8">
          <w:rPr>
            <w:rStyle w:val="Hyperlink"/>
            <w:rFonts w:cstheme="minorHAnsi"/>
            <w:color w:val="auto"/>
            <w:sz w:val="20"/>
            <w:szCs w:val="20"/>
          </w:rPr>
          <w:t>catherine.clemens@childcomm.tas.gov.au</w:t>
        </w:r>
      </w:hyperlink>
    </w:p>
    <w:p w:rsidR="00533CB4" w:rsidRPr="001447B8" w:rsidRDefault="00533CB4" w:rsidP="00533CB4">
      <w:pPr>
        <w:spacing w:before="120" w:after="120"/>
        <w:jc w:val="center"/>
        <w:rPr>
          <w:rFonts w:cstheme="minorHAnsi"/>
        </w:rPr>
      </w:pPr>
      <w:r w:rsidRPr="001447B8">
        <w:rPr>
          <w:rFonts w:cstheme="minorHAnsi"/>
          <w:sz w:val="20"/>
          <w:szCs w:val="20"/>
        </w:rPr>
        <w:t>Phone: (03) 6166 1364</w:t>
      </w:r>
    </w:p>
    <w:p w:rsidR="00533CB4" w:rsidRPr="001447B8" w:rsidRDefault="00533CB4" w:rsidP="00533CB4">
      <w:pPr>
        <w:spacing w:before="120" w:after="120"/>
        <w:jc w:val="center"/>
        <w:rPr>
          <w:rFonts w:cstheme="minorHAnsi"/>
        </w:rPr>
      </w:pPr>
      <w:r w:rsidRPr="001447B8">
        <w:rPr>
          <w:rFonts w:cstheme="minorHAnsi"/>
          <w:sz w:val="20"/>
          <w:szCs w:val="20"/>
        </w:rPr>
        <w:t xml:space="preserve">Mobile: 0427 008 268 </w:t>
      </w:r>
    </w:p>
    <w:p w:rsidR="00533CB4" w:rsidRPr="001447B8" w:rsidRDefault="00533CB4" w:rsidP="00533CB4">
      <w:pPr>
        <w:spacing w:before="120" w:after="120"/>
        <w:jc w:val="center"/>
        <w:rPr>
          <w:rFonts w:cstheme="minorHAnsi"/>
        </w:rPr>
      </w:pPr>
      <w:r w:rsidRPr="001447B8">
        <w:rPr>
          <w:rFonts w:cstheme="minorHAnsi"/>
          <w:sz w:val="20"/>
          <w:szCs w:val="20"/>
        </w:rPr>
        <w:t xml:space="preserve">Web: </w:t>
      </w:r>
      <w:hyperlink r:id="rId10" w:tooltip="http://www.childcomm.tas.gov.au/" w:history="1">
        <w:r w:rsidRPr="001447B8">
          <w:rPr>
            <w:rStyle w:val="Hyperlink"/>
            <w:rFonts w:cstheme="minorHAnsi"/>
            <w:color w:val="auto"/>
            <w:sz w:val="20"/>
            <w:szCs w:val="20"/>
          </w:rPr>
          <w:t>www.childcomm.tas.gov.au</w:t>
        </w:r>
      </w:hyperlink>
    </w:p>
    <w:p w:rsidR="00533CB4" w:rsidRPr="001447B8" w:rsidRDefault="00533CB4" w:rsidP="00533CB4">
      <w:pPr>
        <w:shd w:val="clear" w:color="auto" w:fill="FFFFFF"/>
        <w:rPr>
          <w:rFonts w:cstheme="minorHAnsi"/>
          <w:color w:val="333333"/>
          <w:szCs w:val="22"/>
        </w:rPr>
      </w:pPr>
    </w:p>
    <w:p w:rsidR="00533CB4" w:rsidRPr="00223449" w:rsidRDefault="00533CB4" w:rsidP="00533CB4">
      <w:pPr>
        <w:tabs>
          <w:tab w:val="left" w:pos="532"/>
          <w:tab w:val="left" w:pos="6425"/>
        </w:tabs>
        <w:rPr>
          <w:rFonts w:ascii="Franklin Gothic Book" w:hAnsi="Franklin Gothic Book"/>
          <w:szCs w:val="22"/>
        </w:rPr>
      </w:pPr>
    </w:p>
    <w:sectPr w:rsidR="00533CB4" w:rsidRPr="00223449" w:rsidSect="00F76156">
      <w:headerReference w:type="default" r:id="rId11"/>
      <w:footerReference w:type="default" r:id="rId12"/>
      <w:headerReference w:type="first" r:id="rId13"/>
      <w:footerReference w:type="first" r:id="rId14"/>
      <w:pgSz w:w="11900" w:h="16840"/>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9D4" w:rsidRDefault="000E19D4" w:rsidP="003D25B3">
      <w:r>
        <w:separator/>
      </w:r>
    </w:p>
  </w:endnote>
  <w:endnote w:type="continuationSeparator" w:id="0">
    <w:p w:rsidR="000E19D4" w:rsidRDefault="000E19D4" w:rsidP="003D2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illSans">
    <w:altName w:val="GillSans"/>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DD" w:rsidRPr="00D91FDD" w:rsidRDefault="00D91FDD" w:rsidP="00D91FDD">
    <w:pPr>
      <w:pStyle w:val="Footer"/>
      <w:tabs>
        <w:tab w:val="clear" w:pos="4320"/>
        <w:tab w:val="clear" w:pos="8640"/>
        <w:tab w:val="left" w:pos="4820"/>
        <w:tab w:val="left" w:pos="7088"/>
      </w:tabs>
      <w:rPr>
        <w:rFonts w:asciiTheme="majorHAnsi" w:hAnsiTheme="majorHAnsi"/>
        <w:sz w:val="20"/>
        <w:szCs w:val="20"/>
      </w:rPr>
    </w:pPr>
    <w:r>
      <w:rPr>
        <w:rFonts w:ascii="Arial" w:hAnsi="Arial"/>
        <w:szCs w:val="17"/>
      </w:rPr>
      <w:tab/>
    </w:r>
  </w:p>
  <w:p w:rsidR="00D91FDD" w:rsidRPr="003E7AD6" w:rsidRDefault="00D91FDD" w:rsidP="00D91FDD">
    <w:pPr>
      <w:pStyle w:val="Footer"/>
      <w:tabs>
        <w:tab w:val="clear" w:pos="4320"/>
        <w:tab w:val="clear" w:pos="8640"/>
        <w:tab w:val="left" w:pos="4820"/>
        <w:tab w:val="left" w:pos="7088"/>
      </w:tabs>
      <w:rPr>
        <w:rFonts w:ascii="Arial" w:hAnsi="Arial"/>
        <w:szCs w:val="17"/>
      </w:rPr>
    </w:pPr>
    <w:r w:rsidRPr="002A729A">
      <w:rPr>
        <w:rFonts w:ascii="Arial" w:hAnsi="Arial"/>
        <w:szCs w:val="17"/>
      </w:rPr>
      <w:tab/>
    </w:r>
  </w:p>
  <w:p w:rsidR="00D91FDD" w:rsidRPr="003E7AD6" w:rsidRDefault="00D91FDD" w:rsidP="00D91FDD">
    <w:pPr>
      <w:pStyle w:val="Footer"/>
      <w:tabs>
        <w:tab w:val="clear" w:pos="4320"/>
        <w:tab w:val="clear" w:pos="8640"/>
        <w:tab w:val="left" w:pos="4820"/>
        <w:tab w:val="left" w:pos="7088"/>
      </w:tabs>
      <w:rPr>
        <w:rFonts w:ascii="Arial" w:hAnsi="Arial"/>
        <w:szCs w:val="17"/>
      </w:rPr>
    </w:pPr>
    <w:r w:rsidRPr="003E7AD6">
      <w:rPr>
        <w:rFonts w:ascii="Arial" w:hAnsi="Arial"/>
        <w:szCs w:val="17"/>
      </w:rPr>
      <w:tab/>
    </w:r>
  </w:p>
  <w:p w:rsidR="003E7AD6" w:rsidRPr="00D91FDD" w:rsidRDefault="00D91FDD" w:rsidP="00D91FDD">
    <w:pPr>
      <w:pStyle w:val="Footer"/>
      <w:tabs>
        <w:tab w:val="clear" w:pos="4320"/>
        <w:tab w:val="clear" w:pos="8640"/>
        <w:tab w:val="left" w:pos="4820"/>
        <w:tab w:val="left" w:pos="7088"/>
      </w:tabs>
      <w:rPr>
        <w:rFonts w:ascii="Arial" w:hAnsi="Arial"/>
        <w:szCs w:val="17"/>
      </w:rPr>
    </w:pPr>
    <w:r w:rsidRPr="005C664C">
      <w:t xml:space="preserve">Page </w:t>
    </w:r>
    <w:r w:rsidRPr="005C664C">
      <w:fldChar w:fldCharType="begin"/>
    </w:r>
    <w:r w:rsidRPr="005C664C">
      <w:instrText xml:space="preserve"> PAGE </w:instrText>
    </w:r>
    <w:r w:rsidRPr="005C664C">
      <w:fldChar w:fldCharType="separate"/>
    </w:r>
    <w:r w:rsidR="000A789F">
      <w:rPr>
        <w:noProof/>
      </w:rPr>
      <w:t>2</w:t>
    </w:r>
    <w:r w:rsidRPr="005C664C">
      <w:fldChar w:fldCharType="end"/>
    </w:r>
    <w:r w:rsidRPr="005C664C">
      <w:t xml:space="preserve"> of </w:t>
    </w:r>
    <w:fldSimple w:instr=" NUMPAGES ">
      <w:r w:rsidR="000A789F">
        <w:rPr>
          <w:noProof/>
        </w:rPr>
        <w:t>2</w:t>
      </w:r>
    </w:fldSimple>
    <w:r w:rsidRPr="003E7AD6">
      <w:rPr>
        <w:rFonts w:ascii="Arial" w:hAnsi="Arial"/>
        <w:szCs w:val="17"/>
      </w:rPr>
      <w:tab/>
    </w:r>
    <w:r w:rsidRPr="003E7AD6">
      <w:rPr>
        <w:rFonts w:ascii="Arial" w:hAnsi="Arial"/>
        <w:b/>
        <w:szCs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DD" w:rsidRPr="00D91FDD" w:rsidRDefault="00D91FDD" w:rsidP="00533CB4">
    <w:pPr>
      <w:pStyle w:val="Footer"/>
      <w:tabs>
        <w:tab w:val="clear" w:pos="4320"/>
        <w:tab w:val="clear" w:pos="8640"/>
        <w:tab w:val="left" w:pos="4820"/>
        <w:tab w:val="left" w:pos="7088"/>
      </w:tabs>
      <w:jc w:val="center"/>
      <w:rPr>
        <w:rFonts w:asciiTheme="majorHAnsi" w:hAnsiTheme="majorHAnsi"/>
        <w:sz w:val="20"/>
        <w:szCs w:val="20"/>
      </w:rPr>
    </w:pPr>
  </w:p>
  <w:p w:rsidR="003E7AD6" w:rsidRPr="003E7AD6" w:rsidRDefault="003E7AD6" w:rsidP="0077355C">
    <w:pPr>
      <w:pStyle w:val="Footer"/>
      <w:tabs>
        <w:tab w:val="clear" w:pos="4320"/>
        <w:tab w:val="clear" w:pos="8640"/>
        <w:tab w:val="left" w:pos="4820"/>
        <w:tab w:val="left" w:pos="7088"/>
      </w:tabs>
      <w:rPr>
        <w:rFonts w:ascii="Arial" w:hAnsi="Arial"/>
        <w:szCs w:val="17"/>
      </w:rPr>
    </w:pPr>
    <w:r w:rsidRPr="002A729A">
      <w:rPr>
        <w:rFonts w:ascii="Arial" w:hAnsi="Arial"/>
        <w:szCs w:val="17"/>
      </w:rPr>
      <w:tab/>
    </w:r>
  </w:p>
  <w:p w:rsidR="003E7AD6" w:rsidRPr="003E7AD6" w:rsidRDefault="003E7AD6" w:rsidP="0077355C">
    <w:pPr>
      <w:pStyle w:val="Footer"/>
      <w:tabs>
        <w:tab w:val="clear" w:pos="4320"/>
        <w:tab w:val="clear" w:pos="8640"/>
        <w:tab w:val="left" w:pos="4820"/>
        <w:tab w:val="left" w:pos="7088"/>
      </w:tabs>
      <w:rPr>
        <w:rFonts w:ascii="Arial" w:hAnsi="Arial"/>
        <w:szCs w:val="17"/>
      </w:rPr>
    </w:pPr>
    <w:r w:rsidRPr="003E7AD6">
      <w:rPr>
        <w:rFonts w:ascii="Arial" w:hAnsi="Arial"/>
        <w:szCs w:val="17"/>
      </w:rPr>
      <w:tab/>
    </w:r>
  </w:p>
  <w:p w:rsidR="003E7AD6" w:rsidRPr="003E7AD6" w:rsidRDefault="000E1474" w:rsidP="0077355C">
    <w:pPr>
      <w:pStyle w:val="Footer"/>
      <w:tabs>
        <w:tab w:val="clear" w:pos="4320"/>
        <w:tab w:val="clear" w:pos="8640"/>
        <w:tab w:val="left" w:pos="4820"/>
        <w:tab w:val="left" w:pos="7088"/>
      </w:tabs>
      <w:rPr>
        <w:rFonts w:ascii="Arial" w:hAnsi="Arial"/>
        <w:szCs w:val="17"/>
      </w:rPr>
    </w:pPr>
    <w:r w:rsidRPr="005C664C">
      <w:t xml:space="preserve">Page </w:t>
    </w:r>
    <w:r w:rsidRPr="005C664C">
      <w:fldChar w:fldCharType="begin"/>
    </w:r>
    <w:r w:rsidRPr="005C664C">
      <w:instrText xml:space="preserve"> PAGE </w:instrText>
    </w:r>
    <w:r w:rsidRPr="005C664C">
      <w:fldChar w:fldCharType="separate"/>
    </w:r>
    <w:r w:rsidR="000A789F">
      <w:rPr>
        <w:noProof/>
      </w:rPr>
      <w:t>1</w:t>
    </w:r>
    <w:r w:rsidRPr="005C664C">
      <w:fldChar w:fldCharType="end"/>
    </w:r>
    <w:r w:rsidRPr="005C664C">
      <w:t xml:space="preserve"> of </w:t>
    </w:r>
    <w:fldSimple w:instr=" NUMPAGES ">
      <w:r w:rsidR="000A789F">
        <w:rPr>
          <w:noProof/>
        </w:rPr>
        <w:t>1</w:t>
      </w:r>
    </w:fldSimple>
    <w:r w:rsidR="003E7AD6" w:rsidRPr="003E7AD6">
      <w:rPr>
        <w:rFonts w:ascii="Arial" w:hAnsi="Arial"/>
        <w:szCs w:val="17"/>
      </w:rPr>
      <w:tab/>
    </w:r>
    <w:r w:rsidR="003E7AD6" w:rsidRPr="003E7AD6">
      <w:rPr>
        <w:rFonts w:ascii="Arial" w:hAnsi="Arial"/>
        <w:b/>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9D4" w:rsidRDefault="000E19D4" w:rsidP="003D25B3">
      <w:r>
        <w:separator/>
      </w:r>
    </w:p>
  </w:footnote>
  <w:footnote w:type="continuationSeparator" w:id="0">
    <w:p w:rsidR="000E19D4" w:rsidRDefault="000E19D4" w:rsidP="003D2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6" w:rsidRDefault="003E7AD6">
    <w:pPr>
      <w:pStyle w:val="Header"/>
    </w:pPr>
    <w:r>
      <w:rPr>
        <w:noProof/>
        <w:lang w:val="en-AU" w:eastAsia="en-AU"/>
      </w:rPr>
      <w:drawing>
        <wp:anchor distT="0" distB="0" distL="114300" distR="114300" simplePos="0" relativeHeight="251663360" behindDoc="0" locked="1" layoutInCell="1" allowOverlap="1" wp14:anchorId="5F340258" wp14:editId="66F48B8D">
          <wp:simplePos x="0" y="0"/>
          <wp:positionH relativeFrom="column">
            <wp:posOffset>5501640</wp:posOffset>
          </wp:positionH>
          <wp:positionV relativeFrom="page">
            <wp:posOffset>3810</wp:posOffset>
          </wp:positionV>
          <wp:extent cx="1508760" cy="1508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YP-Logo_Icon_Col.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08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D6" w:rsidRDefault="00B067A8">
    <w:pPr>
      <w:pStyle w:val="Header"/>
    </w:pPr>
    <w:r>
      <w:rPr>
        <w:noProof/>
        <w:lang w:val="en-AU" w:eastAsia="en-AU"/>
      </w:rPr>
      <w:drawing>
        <wp:anchor distT="0" distB="0" distL="114300" distR="114300" simplePos="0" relativeHeight="251662335" behindDoc="1" locked="1" layoutInCell="1" allowOverlap="1" wp14:anchorId="25A8CCCA" wp14:editId="2EE33773">
          <wp:simplePos x="0" y="0"/>
          <wp:positionH relativeFrom="page">
            <wp:align>left</wp:align>
          </wp:positionH>
          <wp:positionV relativeFrom="page">
            <wp:align>top</wp:align>
          </wp:positionV>
          <wp:extent cx="7560000" cy="2566456"/>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277 CCYP MediaReleas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6645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rsidR="003E7AD6" w:rsidRDefault="003E7AD6">
    <w:pPr>
      <w:pStyle w:val="Header"/>
    </w:pPr>
  </w:p>
  <w:p w:rsidR="003E7AD6" w:rsidRDefault="003E7AD6">
    <w:pPr>
      <w:pStyle w:val="Header"/>
    </w:pPr>
  </w:p>
  <w:p w:rsidR="00B067A8" w:rsidRDefault="00B067A8">
    <w:pPr>
      <w:pStyle w:val="Header"/>
    </w:pPr>
  </w:p>
  <w:p w:rsidR="00B067A8" w:rsidRDefault="00B067A8">
    <w:pPr>
      <w:pStyle w:val="Header"/>
    </w:pPr>
  </w:p>
  <w:p w:rsidR="00B067A8" w:rsidRDefault="00B067A8">
    <w:pPr>
      <w:pStyle w:val="Header"/>
    </w:pPr>
  </w:p>
  <w:p w:rsidR="00B067A8" w:rsidRDefault="00B067A8">
    <w:pPr>
      <w:pStyle w:val="Header"/>
    </w:pPr>
  </w:p>
  <w:p w:rsidR="00B067A8" w:rsidRDefault="00B067A8">
    <w:pPr>
      <w:pStyle w:val="Header"/>
    </w:pPr>
  </w:p>
  <w:p w:rsidR="00B067A8" w:rsidRDefault="00B067A8">
    <w:pPr>
      <w:pStyle w:val="Header"/>
    </w:pPr>
  </w:p>
  <w:p w:rsidR="003E7AD6" w:rsidRDefault="003E7AD6">
    <w:pPr>
      <w:pStyle w:val="Header"/>
    </w:pPr>
  </w:p>
  <w:p w:rsidR="003E7AD6" w:rsidRDefault="003E7AD6">
    <w:pPr>
      <w:pStyle w:val="Header"/>
    </w:pPr>
  </w:p>
  <w:p w:rsidR="003E7AD6" w:rsidRDefault="003E7AD6">
    <w:pPr>
      <w:pStyle w:val="Header"/>
    </w:pPr>
  </w:p>
  <w:p w:rsidR="003E7AD6" w:rsidRDefault="003E7AD6">
    <w:pPr>
      <w:pStyle w:val="Header"/>
    </w:pPr>
  </w:p>
  <w:p w:rsidR="003E7AD6" w:rsidRDefault="003E7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A1F39"/>
    <w:multiLevelType w:val="hybridMultilevel"/>
    <w:tmpl w:val="289C56C6"/>
    <w:lvl w:ilvl="0" w:tplc="0C090001">
      <w:start w:val="1"/>
      <w:numFmt w:val="bullet"/>
      <w:lvlText w:val=""/>
      <w:lvlJc w:val="left"/>
      <w:pPr>
        <w:ind w:left="723" w:hanging="360"/>
      </w:pPr>
      <w:rPr>
        <w:rFonts w:ascii="Symbol" w:hAnsi="Symbol"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1">
    <w:nsid w:val="69054266"/>
    <w:multiLevelType w:val="hybridMultilevel"/>
    <w:tmpl w:val="18502F58"/>
    <w:lvl w:ilvl="0" w:tplc="0C090001">
      <w:start w:val="1"/>
      <w:numFmt w:val="bullet"/>
      <w:lvlText w:val=""/>
      <w:lvlJc w:val="left"/>
      <w:pPr>
        <w:ind w:left="696" w:hanging="360"/>
      </w:pPr>
      <w:rPr>
        <w:rFonts w:ascii="Symbol" w:hAnsi="Symbol" w:hint="default"/>
      </w:rPr>
    </w:lvl>
    <w:lvl w:ilvl="1" w:tplc="0C090003">
      <w:start w:val="1"/>
      <w:numFmt w:val="bullet"/>
      <w:lvlText w:val="o"/>
      <w:lvlJc w:val="left"/>
      <w:pPr>
        <w:ind w:left="1416" w:hanging="360"/>
      </w:pPr>
      <w:rPr>
        <w:rFonts w:ascii="Courier New" w:hAnsi="Courier New" w:cs="Courier New" w:hint="default"/>
      </w:rPr>
    </w:lvl>
    <w:lvl w:ilvl="2" w:tplc="0C090005" w:tentative="1">
      <w:start w:val="1"/>
      <w:numFmt w:val="bullet"/>
      <w:lvlText w:val=""/>
      <w:lvlJc w:val="left"/>
      <w:pPr>
        <w:ind w:left="2136" w:hanging="360"/>
      </w:pPr>
      <w:rPr>
        <w:rFonts w:ascii="Wingdings" w:hAnsi="Wingdings" w:hint="default"/>
      </w:rPr>
    </w:lvl>
    <w:lvl w:ilvl="3" w:tplc="0C090001" w:tentative="1">
      <w:start w:val="1"/>
      <w:numFmt w:val="bullet"/>
      <w:lvlText w:val=""/>
      <w:lvlJc w:val="left"/>
      <w:pPr>
        <w:ind w:left="2856" w:hanging="360"/>
      </w:pPr>
      <w:rPr>
        <w:rFonts w:ascii="Symbol" w:hAnsi="Symbol" w:hint="default"/>
      </w:rPr>
    </w:lvl>
    <w:lvl w:ilvl="4" w:tplc="0C090003" w:tentative="1">
      <w:start w:val="1"/>
      <w:numFmt w:val="bullet"/>
      <w:lvlText w:val="o"/>
      <w:lvlJc w:val="left"/>
      <w:pPr>
        <w:ind w:left="3576" w:hanging="360"/>
      </w:pPr>
      <w:rPr>
        <w:rFonts w:ascii="Courier New" w:hAnsi="Courier New" w:cs="Courier New" w:hint="default"/>
      </w:rPr>
    </w:lvl>
    <w:lvl w:ilvl="5" w:tplc="0C090005" w:tentative="1">
      <w:start w:val="1"/>
      <w:numFmt w:val="bullet"/>
      <w:lvlText w:val=""/>
      <w:lvlJc w:val="left"/>
      <w:pPr>
        <w:ind w:left="4296" w:hanging="360"/>
      </w:pPr>
      <w:rPr>
        <w:rFonts w:ascii="Wingdings" w:hAnsi="Wingdings" w:hint="default"/>
      </w:rPr>
    </w:lvl>
    <w:lvl w:ilvl="6" w:tplc="0C090001" w:tentative="1">
      <w:start w:val="1"/>
      <w:numFmt w:val="bullet"/>
      <w:lvlText w:val=""/>
      <w:lvlJc w:val="left"/>
      <w:pPr>
        <w:ind w:left="5016" w:hanging="360"/>
      </w:pPr>
      <w:rPr>
        <w:rFonts w:ascii="Symbol" w:hAnsi="Symbol" w:hint="default"/>
      </w:rPr>
    </w:lvl>
    <w:lvl w:ilvl="7" w:tplc="0C090003" w:tentative="1">
      <w:start w:val="1"/>
      <w:numFmt w:val="bullet"/>
      <w:lvlText w:val="o"/>
      <w:lvlJc w:val="left"/>
      <w:pPr>
        <w:ind w:left="5736" w:hanging="360"/>
      </w:pPr>
      <w:rPr>
        <w:rFonts w:ascii="Courier New" w:hAnsi="Courier New" w:cs="Courier New" w:hint="default"/>
      </w:rPr>
    </w:lvl>
    <w:lvl w:ilvl="8" w:tplc="0C090005" w:tentative="1">
      <w:start w:val="1"/>
      <w:numFmt w:val="bullet"/>
      <w:lvlText w:val=""/>
      <w:lvlJc w:val="left"/>
      <w:pPr>
        <w:ind w:left="6456" w:hanging="360"/>
      </w:pPr>
      <w:rPr>
        <w:rFonts w:ascii="Wingdings" w:hAnsi="Wingdings" w:hint="default"/>
      </w:rPr>
    </w:lvl>
  </w:abstractNum>
  <w:abstractNum w:abstractNumId="2">
    <w:nsid w:val="7414066E"/>
    <w:multiLevelType w:val="hybridMultilevel"/>
    <w:tmpl w:val="D0E2EA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317888"/>
    <w:multiLevelType w:val="hybridMultilevel"/>
    <w:tmpl w:val="BC3E3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6"/>
  <w:drawingGridVerticalSpacing w:val="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BF8"/>
    <w:rsid w:val="00084900"/>
    <w:rsid w:val="000A789F"/>
    <w:rsid w:val="000C506F"/>
    <w:rsid w:val="000E1474"/>
    <w:rsid w:val="000E19D4"/>
    <w:rsid w:val="001447B8"/>
    <w:rsid w:val="00151531"/>
    <w:rsid w:val="002A729A"/>
    <w:rsid w:val="003715A8"/>
    <w:rsid w:val="003750BE"/>
    <w:rsid w:val="003B4911"/>
    <w:rsid w:val="003D25B3"/>
    <w:rsid w:val="003E7AD6"/>
    <w:rsid w:val="00417505"/>
    <w:rsid w:val="0047644F"/>
    <w:rsid w:val="004B0691"/>
    <w:rsid w:val="004D4C06"/>
    <w:rsid w:val="00533CB4"/>
    <w:rsid w:val="005A22C7"/>
    <w:rsid w:val="005B0157"/>
    <w:rsid w:val="005B3306"/>
    <w:rsid w:val="005C664C"/>
    <w:rsid w:val="00655942"/>
    <w:rsid w:val="007027E8"/>
    <w:rsid w:val="00764BF8"/>
    <w:rsid w:val="0077355C"/>
    <w:rsid w:val="0077469D"/>
    <w:rsid w:val="007D2B29"/>
    <w:rsid w:val="00807602"/>
    <w:rsid w:val="008124E2"/>
    <w:rsid w:val="0088168D"/>
    <w:rsid w:val="0092389C"/>
    <w:rsid w:val="00964125"/>
    <w:rsid w:val="00990DD3"/>
    <w:rsid w:val="00A46C5C"/>
    <w:rsid w:val="00B067A8"/>
    <w:rsid w:val="00B37E24"/>
    <w:rsid w:val="00B5226C"/>
    <w:rsid w:val="00D30B2C"/>
    <w:rsid w:val="00D3311E"/>
    <w:rsid w:val="00D552A0"/>
    <w:rsid w:val="00D6127E"/>
    <w:rsid w:val="00D91FDD"/>
    <w:rsid w:val="00EA44DB"/>
    <w:rsid w:val="00EF277C"/>
    <w:rsid w:val="00F76156"/>
    <w:rsid w:val="00F82BF1"/>
    <w:rsid w:val="00FA12F4"/>
    <w:rsid w:val="00FB6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25"/>
    <w:rPr>
      <w:sz w:val="22"/>
    </w:rPr>
  </w:style>
  <w:style w:type="paragraph" w:styleId="Heading4">
    <w:name w:val="heading 4"/>
    <w:aliases w:val="Table Heading eading 4"/>
    <w:basedOn w:val="Normal"/>
    <w:next w:val="Normal"/>
    <w:link w:val="Heading4Char"/>
    <w:uiPriority w:val="9"/>
    <w:unhideWhenUsed/>
    <w:qFormat/>
    <w:rsid w:val="0088168D"/>
    <w:pPr>
      <w:widowControl w:val="0"/>
      <w:suppressAutoHyphens/>
      <w:autoSpaceDE w:val="0"/>
      <w:autoSpaceDN w:val="0"/>
      <w:adjustRightInd w:val="0"/>
      <w:spacing w:after="113" w:line="400" w:lineRule="atLeast"/>
      <w:textAlignment w:val="center"/>
      <w:outlineLvl w:val="3"/>
    </w:pPr>
    <w:rPr>
      <w:rFonts w:ascii="GillSans" w:hAnsi="GillSans" w:cs="GillSans"/>
      <w:color w:val="00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ble Heading eading 4 Char"/>
    <w:basedOn w:val="DefaultParagraphFont"/>
    <w:link w:val="Heading4"/>
    <w:uiPriority w:val="9"/>
    <w:rsid w:val="0088168D"/>
    <w:rPr>
      <w:rFonts w:ascii="GillSans" w:hAnsi="GillSans" w:cs="GillSans"/>
      <w:color w:val="000000"/>
      <w:sz w:val="32"/>
      <w:szCs w:val="36"/>
    </w:rPr>
  </w:style>
  <w:style w:type="paragraph" w:styleId="Subtitle">
    <w:name w:val="Subtitle"/>
    <w:basedOn w:val="Normal"/>
    <w:next w:val="Normal"/>
    <w:link w:val="SubtitleChar"/>
    <w:uiPriority w:val="11"/>
    <w:qFormat/>
    <w:rsid w:val="0092389C"/>
    <w:pPr>
      <w:numPr>
        <w:ilvl w:val="1"/>
      </w:numPr>
      <w:spacing w:before="240" w:after="120" w:line="264" w:lineRule="auto"/>
    </w:pPr>
    <w:rPr>
      <w:rFonts w:asciiTheme="majorHAnsi" w:eastAsiaTheme="majorEastAsia" w:hAnsiTheme="majorHAnsi" w:cstheme="majorBidi"/>
      <w:iCs/>
      <w:color w:val="50535A" w:themeColor="text2"/>
      <w:spacing w:val="15"/>
      <w:sz w:val="36"/>
    </w:rPr>
  </w:style>
  <w:style w:type="character" w:customStyle="1" w:styleId="SubtitleChar">
    <w:name w:val="Subtitle Char"/>
    <w:basedOn w:val="DefaultParagraphFont"/>
    <w:link w:val="Subtitle"/>
    <w:uiPriority w:val="11"/>
    <w:rsid w:val="0092389C"/>
    <w:rPr>
      <w:rFonts w:asciiTheme="majorHAnsi" w:eastAsiaTheme="majorEastAsia" w:hAnsiTheme="majorHAnsi" w:cstheme="majorBidi"/>
      <w:iCs/>
      <w:color w:val="50535A" w:themeColor="text2"/>
      <w:spacing w:val="15"/>
      <w:sz w:val="36"/>
    </w:rPr>
  </w:style>
  <w:style w:type="paragraph" w:styleId="TOC2">
    <w:name w:val="toc 2"/>
    <w:basedOn w:val="Normal"/>
    <w:next w:val="Normal"/>
    <w:autoRedefine/>
    <w:uiPriority w:val="39"/>
    <w:unhideWhenUsed/>
    <w:rsid w:val="0092389C"/>
    <w:pPr>
      <w:tabs>
        <w:tab w:val="right" w:leader="dot" w:pos="9622"/>
      </w:tabs>
      <w:spacing w:line="264" w:lineRule="auto"/>
      <w:ind w:left="230"/>
    </w:pPr>
    <w:rPr>
      <w:b/>
      <w:sz w:val="23"/>
      <w:szCs w:val="22"/>
    </w:rPr>
  </w:style>
  <w:style w:type="paragraph" w:styleId="Header">
    <w:name w:val="header"/>
    <w:basedOn w:val="Normal"/>
    <w:link w:val="HeaderChar"/>
    <w:uiPriority w:val="99"/>
    <w:unhideWhenUsed/>
    <w:rsid w:val="003D25B3"/>
    <w:pPr>
      <w:tabs>
        <w:tab w:val="center" w:pos="4320"/>
        <w:tab w:val="right" w:pos="8640"/>
      </w:tabs>
    </w:pPr>
  </w:style>
  <w:style w:type="character" w:customStyle="1" w:styleId="HeaderChar">
    <w:name w:val="Header Char"/>
    <w:basedOn w:val="DefaultParagraphFont"/>
    <w:link w:val="Header"/>
    <w:uiPriority w:val="99"/>
    <w:rsid w:val="003D25B3"/>
    <w:rPr>
      <w:sz w:val="22"/>
    </w:rPr>
  </w:style>
  <w:style w:type="paragraph" w:styleId="Footer">
    <w:name w:val="footer"/>
    <w:basedOn w:val="Normal"/>
    <w:link w:val="FooterChar"/>
    <w:uiPriority w:val="99"/>
    <w:unhideWhenUsed/>
    <w:rsid w:val="003E7AD6"/>
    <w:pPr>
      <w:tabs>
        <w:tab w:val="center" w:pos="4320"/>
        <w:tab w:val="right" w:pos="8640"/>
      </w:tabs>
    </w:pPr>
    <w:rPr>
      <w:color w:val="50535A" w:themeColor="text2"/>
      <w:sz w:val="17"/>
    </w:rPr>
  </w:style>
  <w:style w:type="character" w:customStyle="1" w:styleId="FooterChar">
    <w:name w:val="Footer Char"/>
    <w:basedOn w:val="DefaultParagraphFont"/>
    <w:link w:val="Footer"/>
    <w:uiPriority w:val="99"/>
    <w:rsid w:val="003E7AD6"/>
    <w:rPr>
      <w:color w:val="50535A" w:themeColor="text2"/>
      <w:sz w:val="17"/>
    </w:rPr>
  </w:style>
  <w:style w:type="character" w:styleId="Hyperlink">
    <w:name w:val="Hyperlink"/>
    <w:basedOn w:val="DefaultParagraphFont"/>
    <w:unhideWhenUsed/>
    <w:rsid w:val="0077355C"/>
    <w:rPr>
      <w:color w:val="0A53A5" w:themeColor="hyperlink"/>
      <w:u w:val="single"/>
    </w:rPr>
  </w:style>
  <w:style w:type="character" w:styleId="FollowedHyperlink">
    <w:name w:val="FollowedHyperlink"/>
    <w:basedOn w:val="DefaultParagraphFont"/>
    <w:uiPriority w:val="99"/>
    <w:semiHidden/>
    <w:unhideWhenUsed/>
    <w:rsid w:val="003E7AD6"/>
    <w:rPr>
      <w:color w:val="118CDC" w:themeColor="followedHyperlink"/>
      <w:u w:val="single"/>
    </w:rPr>
  </w:style>
  <w:style w:type="paragraph" w:styleId="ListParagraph">
    <w:name w:val="List Paragraph"/>
    <w:basedOn w:val="Normal"/>
    <w:uiPriority w:val="34"/>
    <w:qFormat/>
    <w:rsid w:val="00533CB4"/>
    <w:pPr>
      <w:ind w:left="720"/>
      <w:contextualSpacing/>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552A0"/>
    <w:rPr>
      <w:rFonts w:ascii="Tahoma" w:hAnsi="Tahoma" w:cs="Tahoma"/>
      <w:sz w:val="16"/>
      <w:szCs w:val="16"/>
    </w:rPr>
  </w:style>
  <w:style w:type="character" w:customStyle="1" w:styleId="BalloonTextChar">
    <w:name w:val="Balloon Text Char"/>
    <w:basedOn w:val="DefaultParagraphFont"/>
    <w:link w:val="BalloonText"/>
    <w:uiPriority w:val="99"/>
    <w:semiHidden/>
    <w:rsid w:val="00D552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125"/>
    <w:rPr>
      <w:sz w:val="22"/>
    </w:rPr>
  </w:style>
  <w:style w:type="paragraph" w:styleId="Heading4">
    <w:name w:val="heading 4"/>
    <w:aliases w:val="Table Heading eading 4"/>
    <w:basedOn w:val="Normal"/>
    <w:next w:val="Normal"/>
    <w:link w:val="Heading4Char"/>
    <w:uiPriority w:val="9"/>
    <w:unhideWhenUsed/>
    <w:qFormat/>
    <w:rsid w:val="0088168D"/>
    <w:pPr>
      <w:widowControl w:val="0"/>
      <w:suppressAutoHyphens/>
      <w:autoSpaceDE w:val="0"/>
      <w:autoSpaceDN w:val="0"/>
      <w:adjustRightInd w:val="0"/>
      <w:spacing w:after="113" w:line="400" w:lineRule="atLeast"/>
      <w:textAlignment w:val="center"/>
      <w:outlineLvl w:val="3"/>
    </w:pPr>
    <w:rPr>
      <w:rFonts w:ascii="GillSans" w:hAnsi="GillSans" w:cs="GillSans"/>
      <w:color w:val="00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ble Heading eading 4 Char"/>
    <w:basedOn w:val="DefaultParagraphFont"/>
    <w:link w:val="Heading4"/>
    <w:uiPriority w:val="9"/>
    <w:rsid w:val="0088168D"/>
    <w:rPr>
      <w:rFonts w:ascii="GillSans" w:hAnsi="GillSans" w:cs="GillSans"/>
      <w:color w:val="000000"/>
      <w:sz w:val="32"/>
      <w:szCs w:val="36"/>
    </w:rPr>
  </w:style>
  <w:style w:type="paragraph" w:styleId="Subtitle">
    <w:name w:val="Subtitle"/>
    <w:basedOn w:val="Normal"/>
    <w:next w:val="Normal"/>
    <w:link w:val="SubtitleChar"/>
    <w:uiPriority w:val="11"/>
    <w:qFormat/>
    <w:rsid w:val="0092389C"/>
    <w:pPr>
      <w:numPr>
        <w:ilvl w:val="1"/>
      </w:numPr>
      <w:spacing w:before="240" w:after="120" w:line="264" w:lineRule="auto"/>
    </w:pPr>
    <w:rPr>
      <w:rFonts w:asciiTheme="majorHAnsi" w:eastAsiaTheme="majorEastAsia" w:hAnsiTheme="majorHAnsi" w:cstheme="majorBidi"/>
      <w:iCs/>
      <w:color w:val="50535A" w:themeColor="text2"/>
      <w:spacing w:val="15"/>
      <w:sz w:val="36"/>
    </w:rPr>
  </w:style>
  <w:style w:type="character" w:customStyle="1" w:styleId="SubtitleChar">
    <w:name w:val="Subtitle Char"/>
    <w:basedOn w:val="DefaultParagraphFont"/>
    <w:link w:val="Subtitle"/>
    <w:uiPriority w:val="11"/>
    <w:rsid w:val="0092389C"/>
    <w:rPr>
      <w:rFonts w:asciiTheme="majorHAnsi" w:eastAsiaTheme="majorEastAsia" w:hAnsiTheme="majorHAnsi" w:cstheme="majorBidi"/>
      <w:iCs/>
      <w:color w:val="50535A" w:themeColor="text2"/>
      <w:spacing w:val="15"/>
      <w:sz w:val="36"/>
    </w:rPr>
  </w:style>
  <w:style w:type="paragraph" w:styleId="TOC2">
    <w:name w:val="toc 2"/>
    <w:basedOn w:val="Normal"/>
    <w:next w:val="Normal"/>
    <w:autoRedefine/>
    <w:uiPriority w:val="39"/>
    <w:unhideWhenUsed/>
    <w:rsid w:val="0092389C"/>
    <w:pPr>
      <w:tabs>
        <w:tab w:val="right" w:leader="dot" w:pos="9622"/>
      </w:tabs>
      <w:spacing w:line="264" w:lineRule="auto"/>
      <w:ind w:left="230"/>
    </w:pPr>
    <w:rPr>
      <w:b/>
      <w:sz w:val="23"/>
      <w:szCs w:val="22"/>
    </w:rPr>
  </w:style>
  <w:style w:type="paragraph" w:styleId="Header">
    <w:name w:val="header"/>
    <w:basedOn w:val="Normal"/>
    <w:link w:val="HeaderChar"/>
    <w:uiPriority w:val="99"/>
    <w:unhideWhenUsed/>
    <w:rsid w:val="003D25B3"/>
    <w:pPr>
      <w:tabs>
        <w:tab w:val="center" w:pos="4320"/>
        <w:tab w:val="right" w:pos="8640"/>
      </w:tabs>
    </w:pPr>
  </w:style>
  <w:style w:type="character" w:customStyle="1" w:styleId="HeaderChar">
    <w:name w:val="Header Char"/>
    <w:basedOn w:val="DefaultParagraphFont"/>
    <w:link w:val="Header"/>
    <w:uiPriority w:val="99"/>
    <w:rsid w:val="003D25B3"/>
    <w:rPr>
      <w:sz w:val="22"/>
    </w:rPr>
  </w:style>
  <w:style w:type="paragraph" w:styleId="Footer">
    <w:name w:val="footer"/>
    <w:basedOn w:val="Normal"/>
    <w:link w:val="FooterChar"/>
    <w:uiPriority w:val="99"/>
    <w:unhideWhenUsed/>
    <w:rsid w:val="003E7AD6"/>
    <w:pPr>
      <w:tabs>
        <w:tab w:val="center" w:pos="4320"/>
        <w:tab w:val="right" w:pos="8640"/>
      </w:tabs>
    </w:pPr>
    <w:rPr>
      <w:color w:val="50535A" w:themeColor="text2"/>
      <w:sz w:val="17"/>
    </w:rPr>
  </w:style>
  <w:style w:type="character" w:customStyle="1" w:styleId="FooterChar">
    <w:name w:val="Footer Char"/>
    <w:basedOn w:val="DefaultParagraphFont"/>
    <w:link w:val="Footer"/>
    <w:uiPriority w:val="99"/>
    <w:rsid w:val="003E7AD6"/>
    <w:rPr>
      <w:color w:val="50535A" w:themeColor="text2"/>
      <w:sz w:val="17"/>
    </w:rPr>
  </w:style>
  <w:style w:type="character" w:styleId="Hyperlink">
    <w:name w:val="Hyperlink"/>
    <w:basedOn w:val="DefaultParagraphFont"/>
    <w:unhideWhenUsed/>
    <w:rsid w:val="0077355C"/>
    <w:rPr>
      <w:color w:val="0A53A5" w:themeColor="hyperlink"/>
      <w:u w:val="single"/>
    </w:rPr>
  </w:style>
  <w:style w:type="character" w:styleId="FollowedHyperlink">
    <w:name w:val="FollowedHyperlink"/>
    <w:basedOn w:val="DefaultParagraphFont"/>
    <w:uiPriority w:val="99"/>
    <w:semiHidden/>
    <w:unhideWhenUsed/>
    <w:rsid w:val="003E7AD6"/>
    <w:rPr>
      <w:color w:val="118CDC" w:themeColor="followedHyperlink"/>
      <w:u w:val="single"/>
    </w:rPr>
  </w:style>
  <w:style w:type="paragraph" w:styleId="ListParagraph">
    <w:name w:val="List Paragraph"/>
    <w:basedOn w:val="Normal"/>
    <w:uiPriority w:val="34"/>
    <w:qFormat/>
    <w:rsid w:val="00533CB4"/>
    <w:pPr>
      <w:ind w:left="720"/>
      <w:contextualSpacing/>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552A0"/>
    <w:rPr>
      <w:rFonts w:ascii="Tahoma" w:hAnsi="Tahoma" w:cs="Tahoma"/>
      <w:sz w:val="16"/>
      <w:szCs w:val="16"/>
    </w:rPr>
  </w:style>
  <w:style w:type="character" w:customStyle="1" w:styleId="BalloonTextChar">
    <w:name w:val="Balloon Text Char"/>
    <w:basedOn w:val="DefaultParagraphFont"/>
    <w:link w:val="BalloonText"/>
    <w:uiPriority w:val="99"/>
    <w:semiHidden/>
    <w:rsid w:val="00D552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law.tas.gov.au/tocview/index.w3p;cond=all;doc_id=2%2B%2B2016%2BAT@EN%2BSESSIONAL;histon=;pdfauthverid=;prompt=;rec=;rtfauthverid=;term=;webauthverid="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dcomm.tas.gov.au/" TargetMode="External"/><Relationship Id="rId4" Type="http://schemas.openxmlformats.org/officeDocument/2006/relationships/settings" Target="settings.xml"/><Relationship Id="rId9" Type="http://schemas.openxmlformats.org/officeDocument/2006/relationships/hyperlink" Target="mailto:catherine.clemens@childcomm.tas.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CYP">
  <a:themeElements>
    <a:clrScheme name="CCYP">
      <a:dk1>
        <a:sysClr val="windowText" lastClr="000000"/>
      </a:dk1>
      <a:lt1>
        <a:sysClr val="window" lastClr="FFFFFF"/>
      </a:lt1>
      <a:dk2>
        <a:srgbClr val="50535A"/>
      </a:dk2>
      <a:lt2>
        <a:srgbClr val="009FE3"/>
      </a:lt2>
      <a:accent1>
        <a:srgbClr val="0069B4"/>
      </a:accent1>
      <a:accent2>
        <a:srgbClr val="2E2B86"/>
      </a:accent2>
      <a:accent3>
        <a:srgbClr val="E6007E"/>
      </a:accent3>
      <a:accent4>
        <a:srgbClr val="AAC811"/>
      </a:accent4>
      <a:accent5>
        <a:srgbClr val="009640"/>
      </a:accent5>
      <a:accent6>
        <a:srgbClr val="DC6321"/>
      </a:accent6>
      <a:hlink>
        <a:srgbClr val="0A53A5"/>
      </a:hlink>
      <a:folHlink>
        <a:srgbClr val="118CDC"/>
      </a:folHlink>
    </a:clrScheme>
    <a:fontScheme name="Sky">
      <a:majorFont>
        <a:latin typeface="Arial Rounded MT Bold"/>
        <a:ea typeface=""/>
        <a:cs typeface=""/>
        <a:font script="Jpan" typeface="ＭＳ Ｐゴシック"/>
        <a:font script="Hans" typeface="宋体"/>
        <a:font script="Hant" typeface="新細明體"/>
      </a:majorFont>
      <a:minorFont>
        <a:latin typeface="Arial"/>
        <a:ea typeface=""/>
        <a:cs typeface=""/>
        <a:font script="Jpan" typeface="ＭＳ Ｐ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F5DF10AD.dotm</Template>
  <TotalTime>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Digital Ink</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Wilson</dc:creator>
  <cp:lastModifiedBy>Morrissey, Mark B</cp:lastModifiedBy>
  <cp:revision>2</cp:revision>
  <cp:lastPrinted>2016-06-29T06:06:00Z</cp:lastPrinted>
  <dcterms:created xsi:type="dcterms:W3CDTF">2016-07-24T02:03:00Z</dcterms:created>
  <dcterms:modified xsi:type="dcterms:W3CDTF">2016-07-24T02:03:00Z</dcterms:modified>
</cp:coreProperties>
</file>