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D868" w14:textId="77777777" w:rsidR="00996991" w:rsidRDefault="00996991" w:rsidP="00996991">
      <w:pPr>
        <w:spacing w:after="120"/>
        <w:rPr>
          <w:rFonts w:asciiTheme="majorHAnsi" w:hAnsiTheme="majorHAnsi"/>
          <w:b/>
          <w:sz w:val="28"/>
          <w:szCs w:val="28"/>
        </w:rPr>
      </w:pPr>
      <w:r w:rsidRPr="00F526C4">
        <w:rPr>
          <w:rFonts w:asciiTheme="majorHAnsi" w:hAnsiTheme="majorHAnsi"/>
          <w:b/>
          <w:sz w:val="28"/>
          <w:szCs w:val="28"/>
        </w:rPr>
        <w:t xml:space="preserve">Investing in the Wellbeing of Tasmania’s Children and Young People Report </w:t>
      </w:r>
    </w:p>
    <w:p w14:paraId="487DE109" w14:textId="77777777" w:rsidR="007D5C5A" w:rsidRDefault="007427F1" w:rsidP="002336D0">
      <w:pPr>
        <w:spacing w:after="120"/>
        <w:rPr>
          <w:rFonts w:asciiTheme="majorHAnsi" w:hAnsiTheme="majorHAnsi"/>
          <w:b/>
          <w:szCs w:val="22"/>
        </w:rPr>
      </w:pPr>
      <w:r>
        <w:rPr>
          <w:rFonts w:asciiTheme="majorHAnsi" w:hAnsiTheme="majorHAnsi"/>
          <w:b/>
          <w:szCs w:val="22"/>
        </w:rPr>
        <w:t>Date</w:t>
      </w:r>
    </w:p>
    <w:p w14:paraId="202EEB17" w14:textId="27AD5E15" w:rsidR="00DE158F" w:rsidRPr="00DE158F" w:rsidRDefault="00D27E92" w:rsidP="00DE158F">
      <w:pPr>
        <w:spacing w:after="120"/>
        <w:rPr>
          <w:rFonts w:cstheme="minorHAnsi"/>
          <w:sz w:val="24"/>
        </w:rPr>
      </w:pPr>
      <w:r>
        <w:rPr>
          <w:rFonts w:cstheme="minorHAnsi"/>
          <w:sz w:val="24"/>
        </w:rPr>
        <w:t xml:space="preserve">Tuesday, </w:t>
      </w:r>
      <w:r w:rsidR="00DE158F" w:rsidRPr="00DE158F">
        <w:rPr>
          <w:rFonts w:cstheme="minorHAnsi"/>
          <w:sz w:val="24"/>
        </w:rPr>
        <w:t xml:space="preserve">11 February 2020 </w:t>
      </w:r>
    </w:p>
    <w:p w14:paraId="166A0830" w14:textId="77777777" w:rsidR="00DE158F" w:rsidRPr="00DE158F" w:rsidRDefault="00DE158F" w:rsidP="00DE158F">
      <w:pPr>
        <w:spacing w:after="120"/>
        <w:rPr>
          <w:rFonts w:cstheme="minorHAnsi"/>
          <w:sz w:val="24"/>
        </w:rPr>
      </w:pPr>
      <w:r w:rsidRPr="00DE158F">
        <w:rPr>
          <w:rFonts w:cstheme="minorHAnsi"/>
          <w:sz w:val="24"/>
        </w:rPr>
        <w:t>The Commissioner for Children and Young People Leanne McLean today called for the wellbeing of children and young people to be the cornerstone of Tasmanian</w:t>
      </w:r>
      <w:r>
        <w:rPr>
          <w:rFonts w:cstheme="minorHAnsi"/>
          <w:sz w:val="24"/>
        </w:rPr>
        <w:t xml:space="preserve"> government policy and decision-</w:t>
      </w:r>
      <w:r w:rsidRPr="00DE158F">
        <w:rPr>
          <w:rFonts w:cstheme="minorHAnsi"/>
          <w:sz w:val="24"/>
        </w:rPr>
        <w:t>making.</w:t>
      </w:r>
    </w:p>
    <w:p w14:paraId="7CC8CE8F" w14:textId="1213732D" w:rsidR="00DE158F" w:rsidRPr="00DE158F" w:rsidRDefault="00DE158F" w:rsidP="00DE158F">
      <w:pPr>
        <w:spacing w:after="120"/>
        <w:rPr>
          <w:rFonts w:cstheme="minorHAnsi"/>
          <w:sz w:val="24"/>
        </w:rPr>
      </w:pPr>
      <w:r w:rsidRPr="00DE158F">
        <w:rPr>
          <w:rFonts w:cstheme="minorHAnsi"/>
          <w:sz w:val="24"/>
        </w:rPr>
        <w:t xml:space="preserve">At the launch of the </w:t>
      </w:r>
      <w:r w:rsidRPr="00D27E92">
        <w:rPr>
          <w:rFonts w:cstheme="minorHAnsi"/>
          <w:b/>
          <w:bCs/>
          <w:i/>
          <w:iCs/>
          <w:sz w:val="24"/>
        </w:rPr>
        <w:t>Investing in the</w:t>
      </w:r>
      <w:r w:rsidRPr="00DE158F">
        <w:rPr>
          <w:rFonts w:cstheme="minorHAnsi"/>
          <w:sz w:val="24"/>
        </w:rPr>
        <w:t xml:space="preserve"> </w:t>
      </w:r>
      <w:r w:rsidRPr="00DE158F">
        <w:rPr>
          <w:rFonts w:cstheme="minorHAnsi"/>
          <w:b/>
          <w:i/>
          <w:sz w:val="24"/>
        </w:rPr>
        <w:t xml:space="preserve">Wellbeing of Tasmania’s Children and Young People </w:t>
      </w:r>
      <w:r w:rsidR="00D27E92">
        <w:rPr>
          <w:rFonts w:cstheme="minorHAnsi"/>
          <w:bCs/>
          <w:iCs/>
          <w:sz w:val="24"/>
        </w:rPr>
        <w:t>r</w:t>
      </w:r>
      <w:r w:rsidRPr="00D27E92">
        <w:rPr>
          <w:rFonts w:cstheme="minorHAnsi"/>
          <w:bCs/>
          <w:iCs/>
          <w:sz w:val="24"/>
        </w:rPr>
        <w:t>eport</w:t>
      </w:r>
      <w:r w:rsidRPr="00DE158F">
        <w:rPr>
          <w:rFonts w:cstheme="minorHAnsi"/>
          <w:sz w:val="24"/>
        </w:rPr>
        <w:t xml:space="preserve">, Ms McLean said </w:t>
      </w:r>
      <w:r w:rsidR="00D27E92">
        <w:rPr>
          <w:rFonts w:cstheme="minorHAnsi"/>
          <w:sz w:val="24"/>
        </w:rPr>
        <w:t xml:space="preserve">investing in the wellbeing of </w:t>
      </w:r>
      <w:r w:rsidRPr="00DE158F">
        <w:rPr>
          <w:rFonts w:cstheme="minorHAnsi"/>
          <w:sz w:val="24"/>
        </w:rPr>
        <w:t xml:space="preserve">children and young people </w:t>
      </w:r>
      <w:r w:rsidR="00D27E92">
        <w:rPr>
          <w:rFonts w:cstheme="minorHAnsi"/>
          <w:sz w:val="24"/>
        </w:rPr>
        <w:t>upholds their rights under the UN Convention on the Rights of the Child and</w:t>
      </w:r>
      <w:r w:rsidRPr="00DE158F">
        <w:rPr>
          <w:rFonts w:cstheme="minorHAnsi"/>
          <w:sz w:val="24"/>
        </w:rPr>
        <w:t xml:space="preserve"> provides the foundation for prosperity for all Tasmanians.</w:t>
      </w:r>
    </w:p>
    <w:p w14:paraId="3EA93BD6" w14:textId="5E3B5E78" w:rsidR="00DE158F" w:rsidRDefault="00DE158F" w:rsidP="00DE158F">
      <w:pPr>
        <w:spacing w:after="120"/>
        <w:rPr>
          <w:rFonts w:cstheme="minorHAnsi"/>
          <w:sz w:val="24"/>
        </w:rPr>
      </w:pPr>
      <w:r w:rsidRPr="00DE158F">
        <w:rPr>
          <w:rFonts w:cstheme="minorHAnsi"/>
          <w:sz w:val="24"/>
        </w:rPr>
        <w:t xml:space="preserve">“Having happy, healthy, safe, well-educated children and young people ensures our future adults are healthier, more productive and better connected within their communities. Investing in our young people’s </w:t>
      </w:r>
      <w:r w:rsidR="00025378">
        <w:rPr>
          <w:rFonts w:cstheme="minorHAnsi"/>
          <w:sz w:val="24"/>
        </w:rPr>
        <w:t>wellbeing</w:t>
      </w:r>
      <w:r w:rsidR="00D27E92">
        <w:rPr>
          <w:rFonts w:cstheme="minorHAnsi"/>
          <w:sz w:val="24"/>
        </w:rPr>
        <w:t xml:space="preserve"> now</w:t>
      </w:r>
      <w:r w:rsidRPr="00DE158F">
        <w:rPr>
          <w:rFonts w:cstheme="minorHAnsi"/>
          <w:sz w:val="24"/>
        </w:rPr>
        <w:t xml:space="preserve"> is investing in Tasmania’s future</w:t>
      </w:r>
      <w:r>
        <w:rPr>
          <w:rFonts w:cstheme="minorHAnsi"/>
          <w:sz w:val="24"/>
        </w:rPr>
        <w:t>,</w:t>
      </w:r>
      <w:r w:rsidRPr="00DE158F">
        <w:rPr>
          <w:rFonts w:cstheme="minorHAnsi"/>
          <w:sz w:val="24"/>
        </w:rPr>
        <w:t xml:space="preserve">” Ms McLean </w:t>
      </w:r>
      <w:r>
        <w:rPr>
          <w:rFonts w:cstheme="minorHAnsi"/>
          <w:sz w:val="24"/>
        </w:rPr>
        <w:t>said.</w:t>
      </w:r>
    </w:p>
    <w:p w14:paraId="7D694C31" w14:textId="77777777" w:rsidR="00DE158F" w:rsidRPr="00DE158F" w:rsidRDefault="00DE158F" w:rsidP="00DE158F">
      <w:pPr>
        <w:spacing w:after="120"/>
        <w:rPr>
          <w:rFonts w:cstheme="minorHAnsi"/>
          <w:sz w:val="24"/>
        </w:rPr>
      </w:pPr>
      <w:r w:rsidRPr="00DE158F">
        <w:rPr>
          <w:rFonts w:cstheme="minorHAnsi"/>
          <w:sz w:val="24"/>
        </w:rPr>
        <w:t xml:space="preserve">“I applaud the efforts of current and previous governments to improve the wellbeing of Tasmania’s children and young people. </w:t>
      </w:r>
    </w:p>
    <w:p w14:paraId="4B9CF0A2" w14:textId="77777777" w:rsidR="00DE158F" w:rsidRPr="00DE158F" w:rsidRDefault="00DE158F" w:rsidP="00DE158F">
      <w:pPr>
        <w:spacing w:after="120"/>
        <w:rPr>
          <w:rFonts w:cstheme="minorHAnsi"/>
          <w:sz w:val="24"/>
        </w:rPr>
      </w:pPr>
      <w:r>
        <w:rPr>
          <w:rFonts w:cstheme="minorHAnsi"/>
          <w:sz w:val="24"/>
        </w:rPr>
        <w:t>“However, m</w:t>
      </w:r>
      <w:r w:rsidRPr="00DE158F">
        <w:rPr>
          <w:rFonts w:cstheme="minorHAnsi"/>
          <w:sz w:val="24"/>
        </w:rPr>
        <w:t>any wellbeing outcomes of children and young people in Tasmania</w:t>
      </w:r>
      <w:r>
        <w:rPr>
          <w:rFonts w:cstheme="minorHAnsi"/>
          <w:sz w:val="24"/>
        </w:rPr>
        <w:t xml:space="preserve"> </w:t>
      </w:r>
      <w:r w:rsidRPr="00DE158F">
        <w:rPr>
          <w:rFonts w:cstheme="minorHAnsi"/>
          <w:sz w:val="24"/>
        </w:rPr>
        <w:t>have remained stagnant or worsened, despite our best efforts.”</w:t>
      </w:r>
    </w:p>
    <w:p w14:paraId="5EC84201" w14:textId="77777777" w:rsidR="00DE158F" w:rsidRDefault="00DE158F" w:rsidP="00DE158F">
      <w:pPr>
        <w:spacing w:after="120"/>
        <w:rPr>
          <w:rFonts w:cstheme="minorHAnsi"/>
          <w:sz w:val="24"/>
        </w:rPr>
      </w:pPr>
      <w:r w:rsidRPr="00DE158F">
        <w:rPr>
          <w:rFonts w:cstheme="minorHAnsi"/>
          <w:sz w:val="24"/>
        </w:rPr>
        <w:t>In her report, Ms McLean says the reason for this lack of progress is multifaceted.</w:t>
      </w:r>
    </w:p>
    <w:p w14:paraId="43990152" w14:textId="77777777" w:rsidR="00DE158F" w:rsidRPr="00DE158F" w:rsidRDefault="00DE158F" w:rsidP="00DE158F">
      <w:pPr>
        <w:spacing w:after="120"/>
        <w:rPr>
          <w:rFonts w:cstheme="minorHAnsi"/>
          <w:sz w:val="24"/>
        </w:rPr>
      </w:pPr>
      <w:r>
        <w:rPr>
          <w:rFonts w:cstheme="minorHAnsi"/>
          <w:sz w:val="24"/>
        </w:rPr>
        <w:t>“</w:t>
      </w:r>
      <w:r w:rsidRPr="00DE158F">
        <w:rPr>
          <w:rFonts w:cstheme="minorHAnsi"/>
          <w:sz w:val="24"/>
        </w:rPr>
        <w:t>Contributing factors include a lack of coordination between government departments and other organisations supporting children and their families, and investment being focused more on crisis intervention than prevention and support.</w:t>
      </w:r>
    </w:p>
    <w:p w14:paraId="5FD48246" w14:textId="7D7E6AB0" w:rsidR="00DE158F" w:rsidRPr="00DE158F" w:rsidRDefault="00DE158F" w:rsidP="00DE158F">
      <w:pPr>
        <w:spacing w:after="120"/>
        <w:rPr>
          <w:rFonts w:cstheme="minorHAnsi"/>
          <w:sz w:val="24"/>
        </w:rPr>
      </w:pPr>
      <w:r w:rsidRPr="00DE158F">
        <w:rPr>
          <w:rFonts w:cstheme="minorHAnsi"/>
          <w:sz w:val="24"/>
        </w:rPr>
        <w:t>“A new approach is clearly required</w:t>
      </w:r>
      <w:r>
        <w:rPr>
          <w:rFonts w:cstheme="minorHAnsi"/>
          <w:sz w:val="24"/>
        </w:rPr>
        <w:t xml:space="preserve">. I am calling for </w:t>
      </w:r>
      <w:r w:rsidR="00DC314D">
        <w:rPr>
          <w:rFonts w:cstheme="minorHAnsi"/>
          <w:sz w:val="24"/>
        </w:rPr>
        <w:t xml:space="preserve">a </w:t>
      </w:r>
      <w:r>
        <w:rPr>
          <w:rFonts w:cstheme="minorHAnsi"/>
          <w:sz w:val="24"/>
        </w:rPr>
        <w:t>whole-</w:t>
      </w:r>
      <w:r w:rsidRPr="00DE158F">
        <w:rPr>
          <w:rFonts w:cstheme="minorHAnsi"/>
          <w:sz w:val="24"/>
        </w:rPr>
        <w:t xml:space="preserve">of-government strategy lead by the </w:t>
      </w:r>
      <w:r>
        <w:rPr>
          <w:rFonts w:cstheme="minorHAnsi"/>
          <w:sz w:val="24"/>
        </w:rPr>
        <w:t>C</w:t>
      </w:r>
      <w:r w:rsidRPr="00DE158F">
        <w:rPr>
          <w:rFonts w:cstheme="minorHAnsi"/>
          <w:sz w:val="24"/>
        </w:rPr>
        <w:t xml:space="preserve">abinet of the day to </w:t>
      </w:r>
      <w:r w:rsidR="00D27E92">
        <w:rPr>
          <w:rFonts w:cstheme="minorHAnsi"/>
          <w:sz w:val="24"/>
        </w:rPr>
        <w:t xml:space="preserve">prioritise and </w:t>
      </w:r>
      <w:r w:rsidRPr="00DE158F">
        <w:rPr>
          <w:rFonts w:cstheme="minorHAnsi"/>
          <w:sz w:val="24"/>
        </w:rPr>
        <w:t xml:space="preserve">improve the wellbeing of Tasmanian children and young people. </w:t>
      </w:r>
    </w:p>
    <w:p w14:paraId="7696AF50" w14:textId="37667EEA" w:rsidR="00DE158F" w:rsidRDefault="00DE158F" w:rsidP="00DE158F">
      <w:pPr>
        <w:spacing w:after="120"/>
        <w:rPr>
          <w:rFonts w:cstheme="minorHAnsi"/>
          <w:sz w:val="24"/>
        </w:rPr>
      </w:pPr>
      <w:r w:rsidRPr="00DE158F">
        <w:rPr>
          <w:rFonts w:cstheme="minorHAnsi"/>
          <w:sz w:val="24"/>
        </w:rPr>
        <w:t>“</w:t>
      </w:r>
      <w:r w:rsidR="00DC314D">
        <w:rPr>
          <w:rFonts w:cstheme="minorHAnsi"/>
          <w:sz w:val="24"/>
        </w:rPr>
        <w:t>T</w:t>
      </w:r>
      <w:r w:rsidR="00DC314D">
        <w:rPr>
          <w:rFonts w:cstheme="minorHAnsi"/>
          <w:sz w:val="24"/>
        </w:rPr>
        <w:t>o improve wellb</w:t>
      </w:r>
      <w:bookmarkStart w:id="0" w:name="_GoBack"/>
      <w:bookmarkEnd w:id="0"/>
      <w:r w:rsidR="00DC314D">
        <w:rPr>
          <w:rFonts w:cstheme="minorHAnsi"/>
          <w:sz w:val="24"/>
        </w:rPr>
        <w:t xml:space="preserve">eing outcomes </w:t>
      </w:r>
      <w:r w:rsidR="00D27E92">
        <w:rPr>
          <w:rFonts w:cstheme="minorHAnsi"/>
          <w:sz w:val="24"/>
        </w:rPr>
        <w:t>requires a coordinated approach to be implemented by all agencies dealing with children, young people and their families.</w:t>
      </w:r>
    </w:p>
    <w:p w14:paraId="13136B49" w14:textId="7B17F595" w:rsidR="00DE158F" w:rsidRPr="00DE158F" w:rsidRDefault="00DE158F" w:rsidP="00DE158F">
      <w:pPr>
        <w:spacing w:after="120"/>
        <w:rPr>
          <w:rFonts w:cstheme="minorHAnsi"/>
          <w:sz w:val="24"/>
        </w:rPr>
      </w:pPr>
      <w:r>
        <w:rPr>
          <w:rFonts w:cstheme="minorHAnsi"/>
          <w:sz w:val="24"/>
        </w:rPr>
        <w:t>“</w:t>
      </w:r>
      <w:r w:rsidR="00025378">
        <w:rPr>
          <w:rFonts w:cstheme="minorHAnsi"/>
          <w:sz w:val="24"/>
        </w:rPr>
        <w:t>I</w:t>
      </w:r>
      <w:r w:rsidR="00D27E92">
        <w:rPr>
          <w:rFonts w:cstheme="minorHAnsi"/>
          <w:sz w:val="24"/>
        </w:rPr>
        <w:t>n</w:t>
      </w:r>
      <w:r w:rsidR="00025378">
        <w:rPr>
          <w:rFonts w:cstheme="minorHAnsi"/>
          <w:sz w:val="24"/>
        </w:rPr>
        <w:t xml:space="preserve"> particular, t</w:t>
      </w:r>
      <w:r w:rsidRPr="00DE158F">
        <w:rPr>
          <w:rFonts w:cstheme="minorHAnsi"/>
          <w:sz w:val="24"/>
        </w:rPr>
        <w:t xml:space="preserve">here must be greater investment and earlier intervention in the first 1000 days of </w:t>
      </w:r>
      <w:r w:rsidR="00025378">
        <w:rPr>
          <w:rFonts w:cstheme="minorHAnsi"/>
          <w:sz w:val="24"/>
        </w:rPr>
        <w:t xml:space="preserve">children’s lives. Further, we need </w:t>
      </w:r>
      <w:r w:rsidRPr="00DE158F">
        <w:rPr>
          <w:rFonts w:cstheme="minorHAnsi"/>
          <w:sz w:val="24"/>
        </w:rPr>
        <w:t>improved coll</w:t>
      </w:r>
      <w:r w:rsidR="00025378">
        <w:rPr>
          <w:rFonts w:cstheme="minorHAnsi"/>
          <w:sz w:val="24"/>
        </w:rPr>
        <w:t>ation</w:t>
      </w:r>
      <w:r w:rsidRPr="00DE158F">
        <w:rPr>
          <w:rFonts w:cstheme="minorHAnsi"/>
          <w:sz w:val="24"/>
        </w:rPr>
        <w:t xml:space="preserve">, sharing and analysis of child and youth wellbeing data across all sectors to allow long-term monitoring of progress </w:t>
      </w:r>
      <w:r w:rsidR="00AD4C39">
        <w:rPr>
          <w:rFonts w:cstheme="minorHAnsi"/>
          <w:sz w:val="24"/>
        </w:rPr>
        <w:t>in Tasmania.</w:t>
      </w:r>
    </w:p>
    <w:p w14:paraId="6B077B20" w14:textId="77777777" w:rsidR="00DE158F" w:rsidRPr="00DE158F" w:rsidRDefault="00DE158F" w:rsidP="00DE158F">
      <w:pPr>
        <w:spacing w:after="120"/>
        <w:rPr>
          <w:rFonts w:cstheme="minorHAnsi"/>
          <w:sz w:val="24"/>
        </w:rPr>
      </w:pPr>
      <w:r w:rsidRPr="00DE158F">
        <w:rPr>
          <w:rFonts w:cstheme="minorHAnsi"/>
          <w:sz w:val="24"/>
        </w:rPr>
        <w:t>“Finally, as is the case in any situation relating to children and young people, they must be involved in decision-making that affects</w:t>
      </w:r>
      <w:r w:rsidR="00AD4C39">
        <w:rPr>
          <w:rFonts w:cstheme="minorHAnsi"/>
          <w:sz w:val="24"/>
        </w:rPr>
        <w:t xml:space="preserve"> their wellbeing.</w:t>
      </w:r>
    </w:p>
    <w:p w14:paraId="190B6FE4" w14:textId="77777777" w:rsidR="00DE158F" w:rsidRPr="00DE158F" w:rsidRDefault="00DE158F" w:rsidP="00DE158F">
      <w:pPr>
        <w:spacing w:after="120"/>
        <w:rPr>
          <w:rFonts w:cstheme="minorHAnsi"/>
          <w:sz w:val="24"/>
        </w:rPr>
      </w:pPr>
      <w:r w:rsidRPr="00DE158F">
        <w:rPr>
          <w:rFonts w:cstheme="minorHAnsi"/>
          <w:sz w:val="24"/>
        </w:rPr>
        <w:t>“Only if we put children and young people’s wellbeing at the centre of government strategy can we hope to achieve positive outcomes not only for children and young people but also for the wellbeing of our community as a whole.”</w:t>
      </w:r>
    </w:p>
    <w:p w14:paraId="66D03BA4" w14:textId="77777777" w:rsidR="00DE158F" w:rsidRPr="00DE158F" w:rsidRDefault="00DE158F" w:rsidP="00DE158F">
      <w:pPr>
        <w:spacing w:after="120"/>
        <w:rPr>
          <w:rFonts w:cstheme="minorHAnsi"/>
          <w:sz w:val="24"/>
        </w:rPr>
      </w:pPr>
      <w:r w:rsidRPr="00DE158F">
        <w:rPr>
          <w:rFonts w:cstheme="minorHAnsi"/>
          <w:sz w:val="24"/>
        </w:rPr>
        <w:lastRenderedPageBreak/>
        <w:t>The Commissioner’s report includes the following key recommendations:</w:t>
      </w:r>
    </w:p>
    <w:p w14:paraId="5D8CFD29" w14:textId="77777777" w:rsidR="00DE158F" w:rsidRPr="00AD4C39" w:rsidRDefault="00DE158F" w:rsidP="00AD4C39">
      <w:pPr>
        <w:pStyle w:val="ListParagraph"/>
        <w:numPr>
          <w:ilvl w:val="0"/>
          <w:numId w:val="3"/>
        </w:numPr>
        <w:spacing w:after="120"/>
        <w:rPr>
          <w:rFonts w:cstheme="minorHAnsi"/>
          <w:sz w:val="24"/>
        </w:rPr>
      </w:pPr>
      <w:r w:rsidRPr="00AD4C39">
        <w:rPr>
          <w:rFonts w:cstheme="minorHAnsi"/>
          <w:sz w:val="24"/>
        </w:rPr>
        <w:t xml:space="preserve">A long-term cross-partisan strategy to improve the wellbeing of Tasmanian children and young people, led by the </w:t>
      </w:r>
      <w:r w:rsidR="00AD4C39">
        <w:rPr>
          <w:rFonts w:cstheme="minorHAnsi"/>
          <w:sz w:val="24"/>
        </w:rPr>
        <w:t>C</w:t>
      </w:r>
      <w:r w:rsidRPr="00AD4C39">
        <w:rPr>
          <w:rFonts w:cstheme="minorHAnsi"/>
          <w:sz w:val="24"/>
        </w:rPr>
        <w:t>abinet of the day, that coordinates effort across agencies, and provides effective monitoring and analysis of wellbeing outcomes.</w:t>
      </w:r>
    </w:p>
    <w:p w14:paraId="04D8EE08" w14:textId="77777777" w:rsidR="00DE158F" w:rsidRPr="00AD4C39" w:rsidRDefault="00DE158F" w:rsidP="00AD4C39">
      <w:pPr>
        <w:pStyle w:val="ListParagraph"/>
        <w:numPr>
          <w:ilvl w:val="0"/>
          <w:numId w:val="3"/>
        </w:numPr>
        <w:spacing w:after="120"/>
        <w:rPr>
          <w:rFonts w:cstheme="minorHAnsi"/>
          <w:sz w:val="24"/>
        </w:rPr>
      </w:pPr>
      <w:r w:rsidRPr="00AD4C39">
        <w:rPr>
          <w:rFonts w:cstheme="minorHAnsi"/>
          <w:sz w:val="24"/>
        </w:rPr>
        <w:t>Data collected for monitoring children’s wellbeing should be publicly available, simple, concise, and relevant to populations locally and state-wide.</w:t>
      </w:r>
    </w:p>
    <w:p w14:paraId="11305E1C" w14:textId="77777777" w:rsidR="00DE158F" w:rsidRPr="00AD4C39" w:rsidRDefault="00DE158F" w:rsidP="00AD4C39">
      <w:pPr>
        <w:pStyle w:val="ListParagraph"/>
        <w:numPr>
          <w:ilvl w:val="0"/>
          <w:numId w:val="3"/>
        </w:numPr>
        <w:spacing w:after="120"/>
        <w:rPr>
          <w:rFonts w:cstheme="minorHAnsi"/>
          <w:sz w:val="24"/>
        </w:rPr>
      </w:pPr>
      <w:r w:rsidRPr="00AD4C39">
        <w:rPr>
          <w:rFonts w:cstheme="minorHAnsi"/>
          <w:sz w:val="24"/>
        </w:rPr>
        <w:t xml:space="preserve">Immediate priority actions required include more supports in the first </w:t>
      </w:r>
      <w:r w:rsidR="00AD4C39">
        <w:rPr>
          <w:rFonts w:cstheme="minorHAnsi"/>
          <w:sz w:val="24"/>
        </w:rPr>
        <w:t xml:space="preserve">1000 </w:t>
      </w:r>
      <w:r w:rsidRPr="00AD4C39">
        <w:rPr>
          <w:rFonts w:cstheme="minorHAnsi"/>
          <w:sz w:val="24"/>
        </w:rPr>
        <w:t xml:space="preserve">days of children’s lives, including during pregnancy, and reducing fragmentation of effort in service delivery. </w:t>
      </w:r>
    </w:p>
    <w:p w14:paraId="07970A4D" w14:textId="77777777" w:rsidR="00DE158F" w:rsidRPr="00DE158F" w:rsidRDefault="00DE158F" w:rsidP="00AD4C39">
      <w:pPr>
        <w:spacing w:after="120"/>
        <w:ind w:firstLine="720"/>
        <w:rPr>
          <w:rFonts w:cstheme="minorHAnsi"/>
          <w:sz w:val="24"/>
        </w:rPr>
      </w:pPr>
    </w:p>
    <w:p w14:paraId="4872F34E" w14:textId="77777777" w:rsidR="00DE158F" w:rsidRPr="00DE158F" w:rsidRDefault="00DE158F" w:rsidP="00DE158F">
      <w:pPr>
        <w:spacing w:after="120"/>
        <w:rPr>
          <w:rFonts w:cstheme="minorHAnsi"/>
          <w:sz w:val="24"/>
        </w:rPr>
      </w:pPr>
    </w:p>
    <w:p w14:paraId="7CECCE2D" w14:textId="77777777" w:rsidR="002336D0" w:rsidRDefault="002336D0" w:rsidP="00E964FE">
      <w:pPr>
        <w:autoSpaceDE w:val="0"/>
        <w:autoSpaceDN w:val="0"/>
        <w:adjustRightInd w:val="0"/>
        <w:rPr>
          <w:rFonts w:ascii="Arial" w:hAnsi="Arial" w:cs="Arial"/>
          <w:b/>
          <w:bCs/>
          <w:color w:val="000000"/>
          <w:sz w:val="24"/>
          <w:lang w:val="en-AU"/>
        </w:rPr>
      </w:pPr>
    </w:p>
    <w:p w14:paraId="23AE8232" w14:textId="77777777" w:rsidR="002336D0" w:rsidRDefault="002336D0" w:rsidP="00E964FE">
      <w:pPr>
        <w:autoSpaceDE w:val="0"/>
        <w:autoSpaceDN w:val="0"/>
        <w:adjustRightInd w:val="0"/>
        <w:rPr>
          <w:rFonts w:ascii="Arial" w:hAnsi="Arial" w:cs="Arial"/>
          <w:b/>
          <w:bCs/>
          <w:color w:val="000000"/>
          <w:sz w:val="24"/>
          <w:lang w:val="en-AU"/>
        </w:rPr>
      </w:pPr>
    </w:p>
    <w:p w14:paraId="78C576BA" w14:textId="77777777" w:rsidR="003931C9" w:rsidRPr="002336D0" w:rsidRDefault="003931C9" w:rsidP="00E964FE">
      <w:pPr>
        <w:autoSpaceDE w:val="0"/>
        <w:autoSpaceDN w:val="0"/>
        <w:adjustRightInd w:val="0"/>
        <w:rPr>
          <w:rFonts w:ascii="Arial" w:hAnsi="Arial" w:cs="Arial"/>
          <w:color w:val="000000"/>
          <w:szCs w:val="22"/>
          <w:lang w:val="en-AU"/>
        </w:rPr>
      </w:pPr>
      <w:r w:rsidRPr="002336D0">
        <w:rPr>
          <w:rFonts w:ascii="Arial" w:hAnsi="Arial" w:cs="Arial"/>
          <w:b/>
          <w:bCs/>
          <w:color w:val="000000"/>
          <w:szCs w:val="22"/>
          <w:lang w:val="en-AU"/>
        </w:rPr>
        <w:t xml:space="preserve">Media Contact: </w:t>
      </w:r>
      <w:r w:rsidR="00A43FC4" w:rsidRPr="002336D0">
        <w:rPr>
          <w:rFonts w:ascii="Arial" w:hAnsi="Arial" w:cs="Arial"/>
          <w:b/>
          <w:bCs/>
          <w:color w:val="000000"/>
          <w:szCs w:val="22"/>
          <w:lang w:val="en-AU"/>
        </w:rPr>
        <w:t>A.Mark Thomas, M&amp;M Communications, 0422 006 732</w:t>
      </w:r>
    </w:p>
    <w:sectPr w:rsidR="003931C9" w:rsidRPr="002336D0" w:rsidSect="00764BF8">
      <w:headerReference w:type="default" r:id="rId8"/>
      <w:footerReference w:type="default" r:id="rId9"/>
      <w:headerReference w:type="first" r:id="rId10"/>
      <w:footerReference w:type="first" r:id="rId11"/>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C62E" w14:textId="77777777" w:rsidR="00AB0F18" w:rsidRDefault="00AB0F18" w:rsidP="003D25B3">
      <w:r>
        <w:separator/>
      </w:r>
    </w:p>
  </w:endnote>
  <w:endnote w:type="continuationSeparator" w:id="0">
    <w:p w14:paraId="5E6B87B9" w14:textId="77777777" w:rsidR="00AB0F18" w:rsidRDefault="00AB0F18" w:rsidP="003D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6AB7" w14:textId="77777777" w:rsidR="00D91FDD" w:rsidRPr="00D91FDD" w:rsidRDefault="00D91FDD" w:rsidP="00D91FDD">
    <w:pPr>
      <w:pStyle w:val="Footer"/>
      <w:tabs>
        <w:tab w:val="clear" w:pos="4320"/>
        <w:tab w:val="clear" w:pos="8640"/>
        <w:tab w:val="left" w:pos="4820"/>
        <w:tab w:val="left" w:pos="7088"/>
      </w:tabs>
      <w:rPr>
        <w:rFonts w:asciiTheme="majorHAnsi" w:hAnsiTheme="majorHAnsi"/>
        <w:sz w:val="20"/>
        <w:szCs w:val="20"/>
      </w:rPr>
    </w:pPr>
    <w:r>
      <w:rPr>
        <w:rFonts w:ascii="Arial" w:hAnsi="Arial"/>
        <w:szCs w:val="17"/>
      </w:rPr>
      <w:tab/>
    </w:r>
    <w:r w:rsidRPr="00D91FDD">
      <w:rPr>
        <w:rFonts w:asciiTheme="majorHAnsi" w:hAnsiTheme="majorHAnsi"/>
        <w:sz w:val="20"/>
        <w:szCs w:val="20"/>
      </w:rPr>
      <w:t>Media contact:</w:t>
    </w:r>
  </w:p>
  <w:p w14:paraId="38D89A64" w14:textId="77777777" w:rsidR="00D91FDD" w:rsidRPr="003E7AD6" w:rsidRDefault="00D91FDD" w:rsidP="00D91FDD">
    <w:pPr>
      <w:pStyle w:val="Footer"/>
      <w:tabs>
        <w:tab w:val="clear" w:pos="4320"/>
        <w:tab w:val="clear" w:pos="8640"/>
        <w:tab w:val="left" w:pos="4820"/>
        <w:tab w:val="left" w:pos="7088"/>
      </w:tabs>
      <w:rPr>
        <w:rFonts w:ascii="Arial" w:hAnsi="Arial"/>
        <w:szCs w:val="17"/>
      </w:rPr>
    </w:pPr>
    <w:r w:rsidRPr="002A729A">
      <w:rPr>
        <w:rFonts w:ascii="Arial" w:hAnsi="Arial"/>
        <w:szCs w:val="17"/>
      </w:rPr>
      <w:tab/>
    </w:r>
  </w:p>
  <w:p w14:paraId="68A7B2BC" w14:textId="77777777" w:rsidR="00D91FDD" w:rsidRPr="003E7AD6" w:rsidRDefault="00D91FDD" w:rsidP="00D91FDD">
    <w:pPr>
      <w:pStyle w:val="Footer"/>
      <w:tabs>
        <w:tab w:val="clear" w:pos="4320"/>
        <w:tab w:val="clear" w:pos="8640"/>
        <w:tab w:val="left" w:pos="4820"/>
        <w:tab w:val="left" w:pos="7088"/>
      </w:tabs>
      <w:rPr>
        <w:rFonts w:ascii="Arial" w:hAnsi="Arial"/>
        <w:szCs w:val="17"/>
      </w:rPr>
    </w:pPr>
    <w:r w:rsidRPr="003E7AD6">
      <w:rPr>
        <w:rFonts w:ascii="Arial" w:hAnsi="Arial"/>
        <w:szCs w:val="17"/>
      </w:rPr>
      <w:tab/>
    </w:r>
  </w:p>
  <w:p w14:paraId="0480D049" w14:textId="77777777" w:rsidR="003E7AD6" w:rsidRPr="00D91FDD" w:rsidRDefault="00D91FDD" w:rsidP="00D91FDD">
    <w:pPr>
      <w:pStyle w:val="Footer"/>
      <w:tabs>
        <w:tab w:val="clear" w:pos="4320"/>
        <w:tab w:val="clear" w:pos="8640"/>
        <w:tab w:val="left" w:pos="4820"/>
        <w:tab w:val="left" w:pos="7088"/>
      </w:tabs>
      <w:rPr>
        <w:rFonts w:ascii="Arial" w:hAnsi="Arial"/>
        <w:szCs w:val="17"/>
      </w:rPr>
    </w:pPr>
    <w:r w:rsidRPr="005C664C">
      <w:t xml:space="preserve">Page </w:t>
    </w:r>
    <w:r w:rsidRPr="005C664C">
      <w:fldChar w:fldCharType="begin"/>
    </w:r>
    <w:r w:rsidRPr="005C664C">
      <w:instrText xml:space="preserve"> PAGE </w:instrText>
    </w:r>
    <w:r w:rsidRPr="005C664C">
      <w:fldChar w:fldCharType="separate"/>
    </w:r>
    <w:r w:rsidR="00AD4C39">
      <w:rPr>
        <w:noProof/>
      </w:rPr>
      <w:t>2</w:t>
    </w:r>
    <w:r w:rsidRPr="005C664C">
      <w:fldChar w:fldCharType="end"/>
    </w:r>
    <w:r w:rsidRPr="005C664C">
      <w:t xml:space="preserve"> of </w:t>
    </w:r>
    <w:fldSimple w:instr=" NUMPAGES ">
      <w:r w:rsidR="00AD4C39">
        <w:rPr>
          <w:noProof/>
        </w:rPr>
        <w:t>2</w:t>
      </w:r>
    </w:fldSimple>
    <w:r w:rsidRPr="003E7AD6">
      <w:rPr>
        <w:rFonts w:ascii="Arial" w:hAnsi="Arial"/>
        <w:szCs w:val="17"/>
      </w:rPr>
      <w:tab/>
    </w:r>
    <w:r w:rsidRPr="003E7AD6">
      <w:rPr>
        <w:rFonts w:ascii="Arial" w:hAnsi="Arial"/>
        <w:b/>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66"/>
      <w:gridCol w:w="2454"/>
      <w:gridCol w:w="2846"/>
    </w:tblGrid>
    <w:tr w:rsidR="00F029E8" w:rsidRPr="00F029E8" w14:paraId="141AAA65" w14:textId="77777777" w:rsidTr="00F029E8">
      <w:tc>
        <w:tcPr>
          <w:tcW w:w="2603" w:type="dxa"/>
        </w:tcPr>
        <w:p w14:paraId="6E2D8F18" w14:textId="77777777" w:rsidR="00F029E8" w:rsidRPr="00F029E8" w:rsidRDefault="00F029E8" w:rsidP="00A61B30">
          <w:pPr>
            <w:pStyle w:val="Footer"/>
            <w:rPr>
              <w:rFonts w:ascii="Arial" w:hAnsi="Arial"/>
              <w:szCs w:val="17"/>
            </w:rPr>
          </w:pPr>
        </w:p>
      </w:tc>
      <w:tc>
        <w:tcPr>
          <w:tcW w:w="2604" w:type="dxa"/>
        </w:tcPr>
        <w:p w14:paraId="64D78387" w14:textId="77777777" w:rsidR="00F029E8" w:rsidRPr="00F029E8" w:rsidRDefault="00F029E8" w:rsidP="00A61B30">
          <w:pPr>
            <w:pStyle w:val="Footer"/>
            <w:rPr>
              <w:rFonts w:ascii="Arial" w:hAnsi="Arial"/>
              <w:szCs w:val="17"/>
            </w:rPr>
          </w:pPr>
          <w:r>
            <w:rPr>
              <w:rFonts w:ascii="Arial" w:hAnsi="Arial"/>
              <w:szCs w:val="17"/>
            </w:rPr>
            <w:t>L1 – 119 Macquarie Street</w:t>
          </w:r>
        </w:p>
      </w:tc>
      <w:tc>
        <w:tcPr>
          <w:tcW w:w="2603" w:type="dxa"/>
        </w:tcPr>
        <w:p w14:paraId="3ADDBCF7" w14:textId="77777777" w:rsidR="00F029E8" w:rsidRPr="00F029E8" w:rsidRDefault="00F029E8" w:rsidP="00A61B30">
          <w:pPr>
            <w:pStyle w:val="Footer"/>
            <w:rPr>
              <w:rFonts w:ascii="Arial" w:hAnsi="Arial"/>
              <w:szCs w:val="17"/>
            </w:rPr>
          </w:pPr>
          <w:r>
            <w:rPr>
              <w:rFonts w:ascii="Arial" w:hAnsi="Arial"/>
              <w:szCs w:val="17"/>
            </w:rPr>
            <w:t>GPO Box 708</w:t>
          </w:r>
        </w:p>
      </w:tc>
      <w:tc>
        <w:tcPr>
          <w:tcW w:w="2604" w:type="dxa"/>
        </w:tcPr>
        <w:p w14:paraId="67A73149" w14:textId="77777777" w:rsidR="00F029E8" w:rsidRPr="00F029E8" w:rsidRDefault="00F029E8" w:rsidP="00A61B30">
          <w:pPr>
            <w:pStyle w:val="Footer"/>
            <w:rPr>
              <w:rFonts w:ascii="Arial" w:hAnsi="Arial"/>
              <w:szCs w:val="17"/>
            </w:rPr>
          </w:pPr>
          <w:r>
            <w:rPr>
              <w:rFonts w:ascii="Arial" w:hAnsi="Arial"/>
              <w:szCs w:val="17"/>
            </w:rPr>
            <w:t>childcomm@childcomm.tas.gov.au</w:t>
          </w:r>
        </w:p>
      </w:tc>
    </w:tr>
    <w:tr w:rsidR="00F029E8" w:rsidRPr="00F029E8" w14:paraId="1320076A" w14:textId="77777777" w:rsidTr="00F029E8">
      <w:tc>
        <w:tcPr>
          <w:tcW w:w="2603" w:type="dxa"/>
        </w:tcPr>
        <w:p w14:paraId="5E07953E" w14:textId="77777777" w:rsidR="00F029E8" w:rsidRPr="00F029E8" w:rsidRDefault="00F029E8" w:rsidP="00A61B30">
          <w:pPr>
            <w:pStyle w:val="Footer"/>
            <w:rPr>
              <w:rFonts w:ascii="Arial" w:hAnsi="Arial"/>
              <w:szCs w:val="17"/>
            </w:rPr>
          </w:pPr>
        </w:p>
      </w:tc>
      <w:tc>
        <w:tcPr>
          <w:tcW w:w="2604" w:type="dxa"/>
        </w:tcPr>
        <w:p w14:paraId="63F56056" w14:textId="77777777" w:rsidR="00F029E8" w:rsidRPr="00F029E8" w:rsidRDefault="00F029E8" w:rsidP="00A61B30">
          <w:pPr>
            <w:pStyle w:val="Footer"/>
            <w:rPr>
              <w:rFonts w:ascii="Arial" w:hAnsi="Arial"/>
              <w:szCs w:val="17"/>
            </w:rPr>
          </w:pPr>
          <w:r>
            <w:rPr>
              <w:rFonts w:ascii="Arial" w:hAnsi="Arial"/>
              <w:szCs w:val="17"/>
            </w:rPr>
            <w:t>Hobart TAS</w:t>
          </w:r>
        </w:p>
      </w:tc>
      <w:tc>
        <w:tcPr>
          <w:tcW w:w="2603" w:type="dxa"/>
        </w:tcPr>
        <w:p w14:paraId="577DA3E6" w14:textId="77777777" w:rsidR="00F029E8" w:rsidRPr="00F029E8" w:rsidRDefault="00F029E8" w:rsidP="00A61B30">
          <w:pPr>
            <w:pStyle w:val="Footer"/>
            <w:rPr>
              <w:rFonts w:ascii="Arial" w:hAnsi="Arial"/>
              <w:szCs w:val="17"/>
            </w:rPr>
          </w:pPr>
          <w:r>
            <w:rPr>
              <w:rFonts w:ascii="Arial" w:hAnsi="Arial"/>
              <w:szCs w:val="17"/>
            </w:rPr>
            <w:t>Hobart TAS</w:t>
          </w:r>
        </w:p>
      </w:tc>
      <w:tc>
        <w:tcPr>
          <w:tcW w:w="2604" w:type="dxa"/>
        </w:tcPr>
        <w:p w14:paraId="0A059489" w14:textId="77777777" w:rsidR="00F029E8" w:rsidRPr="00F029E8" w:rsidRDefault="00F029E8" w:rsidP="00A61B30">
          <w:pPr>
            <w:pStyle w:val="Footer"/>
            <w:rPr>
              <w:rFonts w:ascii="Arial" w:hAnsi="Arial"/>
              <w:b/>
              <w:szCs w:val="17"/>
            </w:rPr>
          </w:pPr>
          <w:r w:rsidRPr="00F029E8">
            <w:rPr>
              <w:rFonts w:ascii="Arial" w:hAnsi="Arial"/>
              <w:b/>
              <w:szCs w:val="17"/>
            </w:rPr>
            <w:t>+61 (0)3 6166 1366</w:t>
          </w:r>
        </w:p>
      </w:tc>
    </w:tr>
    <w:tr w:rsidR="00F029E8" w:rsidRPr="003E7AD6" w14:paraId="60CA0321" w14:textId="77777777" w:rsidTr="00F029E8">
      <w:tc>
        <w:tcPr>
          <w:tcW w:w="2603" w:type="dxa"/>
        </w:tcPr>
        <w:p w14:paraId="4EC93776" w14:textId="77777777" w:rsidR="00F029E8" w:rsidRPr="00F029E8" w:rsidRDefault="00F029E8" w:rsidP="00A61B30">
          <w:pPr>
            <w:pStyle w:val="Footer"/>
            <w:tabs>
              <w:tab w:val="clear" w:pos="4320"/>
              <w:tab w:val="clear" w:pos="8640"/>
            </w:tabs>
            <w:rPr>
              <w:rFonts w:ascii="Arial" w:hAnsi="Arial"/>
              <w:szCs w:val="17"/>
            </w:rPr>
          </w:pPr>
          <w:r w:rsidRPr="00F029E8">
            <w:t xml:space="preserve">Page </w:t>
          </w:r>
          <w:r w:rsidRPr="00F029E8">
            <w:fldChar w:fldCharType="begin"/>
          </w:r>
          <w:r w:rsidRPr="00F029E8">
            <w:instrText xml:space="preserve"> PAGE </w:instrText>
          </w:r>
          <w:r w:rsidRPr="00F029E8">
            <w:fldChar w:fldCharType="separate"/>
          </w:r>
          <w:r w:rsidR="00AD4C39">
            <w:rPr>
              <w:noProof/>
            </w:rPr>
            <w:t>1</w:t>
          </w:r>
          <w:r w:rsidRPr="00F029E8">
            <w:fldChar w:fldCharType="end"/>
          </w:r>
          <w:r w:rsidRPr="00F029E8">
            <w:t xml:space="preserve"> of </w:t>
          </w:r>
          <w:fldSimple w:instr=" NUMPAGES ">
            <w:r w:rsidR="00AD4C39">
              <w:rPr>
                <w:noProof/>
              </w:rPr>
              <w:t>2</w:t>
            </w:r>
          </w:fldSimple>
        </w:p>
      </w:tc>
      <w:tc>
        <w:tcPr>
          <w:tcW w:w="2604" w:type="dxa"/>
        </w:tcPr>
        <w:p w14:paraId="18618E6C" w14:textId="77777777" w:rsidR="00F029E8" w:rsidRPr="00F029E8" w:rsidRDefault="00F029E8" w:rsidP="00A61B30">
          <w:pPr>
            <w:pStyle w:val="Footer"/>
            <w:tabs>
              <w:tab w:val="clear" w:pos="4320"/>
              <w:tab w:val="clear" w:pos="8640"/>
            </w:tabs>
            <w:rPr>
              <w:rFonts w:ascii="Arial" w:hAnsi="Arial"/>
              <w:szCs w:val="17"/>
            </w:rPr>
          </w:pPr>
          <w:r>
            <w:rPr>
              <w:rFonts w:ascii="Arial" w:hAnsi="Arial"/>
              <w:szCs w:val="17"/>
            </w:rPr>
            <w:t>Australia 7000</w:t>
          </w:r>
        </w:p>
      </w:tc>
      <w:tc>
        <w:tcPr>
          <w:tcW w:w="2603" w:type="dxa"/>
        </w:tcPr>
        <w:p w14:paraId="71A195EE" w14:textId="77777777" w:rsidR="00F029E8" w:rsidRPr="003E7AD6" w:rsidRDefault="00F029E8" w:rsidP="00A61B30">
          <w:pPr>
            <w:pStyle w:val="Footer"/>
            <w:tabs>
              <w:tab w:val="clear" w:pos="4320"/>
              <w:tab w:val="clear" w:pos="8640"/>
            </w:tabs>
            <w:rPr>
              <w:rFonts w:ascii="Arial" w:hAnsi="Arial"/>
              <w:szCs w:val="17"/>
            </w:rPr>
          </w:pPr>
          <w:r>
            <w:rPr>
              <w:rFonts w:ascii="Arial" w:hAnsi="Arial"/>
              <w:szCs w:val="17"/>
            </w:rPr>
            <w:t>Australia 7001</w:t>
          </w:r>
        </w:p>
      </w:tc>
      <w:tc>
        <w:tcPr>
          <w:tcW w:w="2604" w:type="dxa"/>
        </w:tcPr>
        <w:p w14:paraId="5F01BD5A" w14:textId="77777777" w:rsidR="00F029E8" w:rsidRPr="00F029E8" w:rsidRDefault="00F029E8" w:rsidP="00A61B30">
          <w:pPr>
            <w:pStyle w:val="Footer"/>
            <w:tabs>
              <w:tab w:val="clear" w:pos="4320"/>
              <w:tab w:val="clear" w:pos="8640"/>
            </w:tabs>
            <w:rPr>
              <w:rFonts w:ascii="Arial" w:hAnsi="Arial"/>
              <w:b/>
              <w:szCs w:val="17"/>
            </w:rPr>
          </w:pPr>
          <w:r w:rsidRPr="00F029E8">
            <w:rPr>
              <w:rFonts w:ascii="Arial" w:hAnsi="Arial"/>
              <w:b/>
              <w:szCs w:val="17"/>
            </w:rPr>
            <w:t>www.childcomm.tas.gov.au</w:t>
          </w:r>
        </w:p>
      </w:tc>
    </w:tr>
  </w:tbl>
  <w:p w14:paraId="40E6F63C" w14:textId="77777777" w:rsidR="003E7AD6" w:rsidRPr="003E7AD6" w:rsidRDefault="003E7AD6" w:rsidP="00F029E8">
    <w:pPr>
      <w:pStyle w:val="Footer"/>
      <w:tabs>
        <w:tab w:val="clear" w:pos="4320"/>
        <w:tab w:val="clear" w:pos="8640"/>
        <w:tab w:val="left" w:pos="4820"/>
        <w:tab w:val="left" w:pos="7088"/>
      </w:tabs>
      <w:rPr>
        <w:rFonts w:ascii="Arial" w:hAnsi="Arial"/>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3A9E" w14:textId="77777777" w:rsidR="00AB0F18" w:rsidRDefault="00AB0F18" w:rsidP="003D25B3">
      <w:r>
        <w:separator/>
      </w:r>
    </w:p>
  </w:footnote>
  <w:footnote w:type="continuationSeparator" w:id="0">
    <w:p w14:paraId="3A4470DB" w14:textId="77777777" w:rsidR="00AB0F18" w:rsidRDefault="00AB0F18" w:rsidP="003D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D3F7" w14:textId="77777777" w:rsidR="00975D81" w:rsidRDefault="00975D81" w:rsidP="00975D81">
    <w:pPr>
      <w:pStyle w:val="Header"/>
    </w:pPr>
  </w:p>
  <w:p w14:paraId="4A925D9B" w14:textId="77777777" w:rsidR="00975D81" w:rsidRDefault="00975D81" w:rsidP="00975D81">
    <w:pPr>
      <w:pStyle w:val="Header"/>
    </w:pPr>
  </w:p>
  <w:p w14:paraId="6C1DE9F5" w14:textId="77777777" w:rsidR="00975D81" w:rsidRDefault="00975D81" w:rsidP="00975D81">
    <w:pPr>
      <w:pStyle w:val="Header"/>
    </w:pPr>
  </w:p>
  <w:p w14:paraId="52A5565C" w14:textId="77777777" w:rsidR="00975D81" w:rsidRDefault="00975D81" w:rsidP="00975D81">
    <w:pPr>
      <w:pStyle w:val="Header"/>
    </w:pPr>
    <w:r>
      <w:rPr>
        <w:noProof/>
        <w:lang w:val="en-AU" w:eastAsia="en-AU"/>
      </w:rPr>
      <w:drawing>
        <wp:anchor distT="0" distB="0" distL="114300" distR="114300" simplePos="0" relativeHeight="251665408" behindDoc="0" locked="1" layoutInCell="1" allowOverlap="1" wp14:anchorId="36D66E42" wp14:editId="5B50AE58">
          <wp:simplePos x="0" y="0"/>
          <wp:positionH relativeFrom="column">
            <wp:posOffset>5825490</wp:posOffset>
          </wp:positionH>
          <wp:positionV relativeFrom="page">
            <wp:posOffset>262255</wp:posOffset>
          </wp:positionV>
          <wp:extent cx="863600"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YP-Logo_Icon_Col.png"/>
                  <pic:cNvPicPr/>
                </pic:nvPicPr>
                <pic:blipFill rotWithShape="1">
                  <a:blip r:embed="rId1">
                    <a:extLst>
                      <a:ext uri="{28A0092B-C50C-407E-A947-70E740481C1C}">
                        <a14:useLocalDpi xmlns:a14="http://schemas.microsoft.com/office/drawing/2010/main" val="0"/>
                      </a:ext>
                    </a:extLst>
                  </a:blip>
                  <a:srcRect l="16498" t="16498" r="16498" b="16498"/>
                  <a:stretch/>
                </pic:blipFill>
                <pic:spPr bwMode="auto">
                  <a:xfrm>
                    <a:off x="0" y="0"/>
                    <a:ext cx="863600" cy="863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BEEF917" w14:textId="77777777" w:rsidR="003E7AD6" w:rsidRDefault="003E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2273" w14:textId="77777777" w:rsidR="003E7AD6" w:rsidRDefault="00B067A8">
    <w:pPr>
      <w:pStyle w:val="Header"/>
    </w:pPr>
    <w:r>
      <w:rPr>
        <w:noProof/>
        <w:lang w:val="en-AU" w:eastAsia="en-AU"/>
      </w:rPr>
      <w:drawing>
        <wp:anchor distT="0" distB="0" distL="114300" distR="114300" simplePos="0" relativeHeight="251662335" behindDoc="1" locked="1" layoutInCell="1" allowOverlap="1" wp14:anchorId="413D540A" wp14:editId="68CDD6F3">
          <wp:simplePos x="0" y="0"/>
          <wp:positionH relativeFrom="page">
            <wp:align>left</wp:align>
          </wp:positionH>
          <wp:positionV relativeFrom="page">
            <wp:align>top</wp:align>
          </wp:positionV>
          <wp:extent cx="7560000" cy="2566456"/>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77 CCYP MediaReleas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664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E076B45" w14:textId="77777777" w:rsidR="003E7AD6" w:rsidRDefault="003E7AD6">
    <w:pPr>
      <w:pStyle w:val="Header"/>
    </w:pPr>
  </w:p>
  <w:p w14:paraId="0DAB1993" w14:textId="77777777" w:rsidR="003E7AD6" w:rsidRDefault="003E7AD6">
    <w:pPr>
      <w:pStyle w:val="Header"/>
    </w:pPr>
  </w:p>
  <w:p w14:paraId="7800D844" w14:textId="77777777" w:rsidR="00B067A8" w:rsidRDefault="00B067A8">
    <w:pPr>
      <w:pStyle w:val="Header"/>
    </w:pPr>
  </w:p>
  <w:p w14:paraId="5375ADED" w14:textId="77777777" w:rsidR="00B067A8" w:rsidRDefault="00B067A8">
    <w:pPr>
      <w:pStyle w:val="Header"/>
    </w:pPr>
  </w:p>
  <w:p w14:paraId="649E3570" w14:textId="77777777" w:rsidR="00B067A8" w:rsidRDefault="00B067A8">
    <w:pPr>
      <w:pStyle w:val="Header"/>
    </w:pPr>
  </w:p>
  <w:p w14:paraId="2474E973" w14:textId="77777777" w:rsidR="00B067A8" w:rsidRDefault="00B067A8">
    <w:pPr>
      <w:pStyle w:val="Header"/>
    </w:pPr>
  </w:p>
  <w:p w14:paraId="342C9980" w14:textId="77777777" w:rsidR="00B067A8" w:rsidRDefault="00B067A8">
    <w:pPr>
      <w:pStyle w:val="Header"/>
    </w:pPr>
  </w:p>
  <w:p w14:paraId="2E098A3C" w14:textId="77777777" w:rsidR="00B067A8" w:rsidRDefault="00B067A8">
    <w:pPr>
      <w:pStyle w:val="Header"/>
    </w:pPr>
  </w:p>
  <w:p w14:paraId="3F08E541" w14:textId="77777777" w:rsidR="003E7AD6" w:rsidRDefault="003E7AD6">
    <w:pPr>
      <w:pStyle w:val="Header"/>
    </w:pPr>
  </w:p>
  <w:p w14:paraId="534FD710" w14:textId="77777777" w:rsidR="003E7AD6" w:rsidRDefault="003E7AD6">
    <w:pPr>
      <w:pStyle w:val="Header"/>
    </w:pPr>
  </w:p>
  <w:p w14:paraId="38FA6298" w14:textId="77777777" w:rsidR="003E7AD6" w:rsidRDefault="003E7AD6">
    <w:pPr>
      <w:pStyle w:val="Header"/>
    </w:pPr>
  </w:p>
  <w:p w14:paraId="78A53CA1" w14:textId="77777777" w:rsidR="003E7AD6" w:rsidRDefault="003E7AD6">
    <w:pPr>
      <w:pStyle w:val="Header"/>
    </w:pPr>
  </w:p>
  <w:p w14:paraId="7613DD67" w14:textId="77777777" w:rsidR="003E7AD6" w:rsidRDefault="003E7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58A4"/>
    <w:multiLevelType w:val="hybridMultilevel"/>
    <w:tmpl w:val="9E8E54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A67D64"/>
    <w:multiLevelType w:val="hybridMultilevel"/>
    <w:tmpl w:val="C570D4B2"/>
    <w:lvl w:ilvl="0" w:tplc="C04E0D1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BC26CA"/>
    <w:multiLevelType w:val="hybridMultilevel"/>
    <w:tmpl w:val="A5E0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F8"/>
    <w:rsid w:val="00015078"/>
    <w:rsid w:val="00025378"/>
    <w:rsid w:val="00084900"/>
    <w:rsid w:val="000A2061"/>
    <w:rsid w:val="000E1474"/>
    <w:rsid w:val="001136E4"/>
    <w:rsid w:val="002336D0"/>
    <w:rsid w:val="00266D58"/>
    <w:rsid w:val="00280E12"/>
    <w:rsid w:val="002A729A"/>
    <w:rsid w:val="00366C15"/>
    <w:rsid w:val="00373D91"/>
    <w:rsid w:val="003750BE"/>
    <w:rsid w:val="003931C9"/>
    <w:rsid w:val="003B1D7E"/>
    <w:rsid w:val="003B4911"/>
    <w:rsid w:val="003D25B3"/>
    <w:rsid w:val="003D39DA"/>
    <w:rsid w:val="003E7AD6"/>
    <w:rsid w:val="004670F4"/>
    <w:rsid w:val="004D79D0"/>
    <w:rsid w:val="005A22C7"/>
    <w:rsid w:val="005C664C"/>
    <w:rsid w:val="007027E8"/>
    <w:rsid w:val="007334F7"/>
    <w:rsid w:val="007427F1"/>
    <w:rsid w:val="00764BF8"/>
    <w:rsid w:val="0077355C"/>
    <w:rsid w:val="0077469D"/>
    <w:rsid w:val="007D5AA2"/>
    <w:rsid w:val="007D5C5A"/>
    <w:rsid w:val="00807602"/>
    <w:rsid w:val="0088168D"/>
    <w:rsid w:val="008A02F2"/>
    <w:rsid w:val="0092389C"/>
    <w:rsid w:val="00962EAD"/>
    <w:rsid w:val="00964125"/>
    <w:rsid w:val="00975D81"/>
    <w:rsid w:val="00996991"/>
    <w:rsid w:val="00A1729A"/>
    <w:rsid w:val="00A43FC4"/>
    <w:rsid w:val="00A46C5C"/>
    <w:rsid w:val="00AA4713"/>
    <w:rsid w:val="00AB0F18"/>
    <w:rsid w:val="00AC770C"/>
    <w:rsid w:val="00AD4C39"/>
    <w:rsid w:val="00B067A8"/>
    <w:rsid w:val="00C9445B"/>
    <w:rsid w:val="00CA741C"/>
    <w:rsid w:val="00CD3A04"/>
    <w:rsid w:val="00D27E92"/>
    <w:rsid w:val="00D3311E"/>
    <w:rsid w:val="00D91FDD"/>
    <w:rsid w:val="00D94D59"/>
    <w:rsid w:val="00DC314D"/>
    <w:rsid w:val="00DE158F"/>
    <w:rsid w:val="00DF304B"/>
    <w:rsid w:val="00E40B52"/>
    <w:rsid w:val="00E42222"/>
    <w:rsid w:val="00E964FE"/>
    <w:rsid w:val="00EA0F01"/>
    <w:rsid w:val="00EB4CCF"/>
    <w:rsid w:val="00F029E8"/>
    <w:rsid w:val="00FC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2C964"/>
  <w14:defaultImageDpi w14:val="300"/>
  <w15:docId w15:val="{8E0519C8-76C3-4D25-BB57-2D8B6B4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125"/>
    <w:rPr>
      <w:sz w:val="22"/>
    </w:rPr>
  </w:style>
  <w:style w:type="paragraph" w:styleId="Heading4">
    <w:name w:val="heading 4"/>
    <w:aliases w:val="Table Heading eading 4"/>
    <w:basedOn w:val="Normal"/>
    <w:next w:val="Normal"/>
    <w:link w:val="Heading4Char"/>
    <w:uiPriority w:val="9"/>
    <w:unhideWhenUsed/>
    <w:qFormat/>
    <w:rsid w:val="0088168D"/>
    <w:pPr>
      <w:widowControl w:val="0"/>
      <w:suppressAutoHyphens/>
      <w:autoSpaceDE w:val="0"/>
      <w:autoSpaceDN w:val="0"/>
      <w:adjustRightInd w:val="0"/>
      <w:spacing w:after="113" w:line="400" w:lineRule="atLeast"/>
      <w:textAlignment w:val="center"/>
      <w:outlineLvl w:val="3"/>
    </w:pPr>
    <w:rPr>
      <w:rFonts w:ascii="GillSans" w:hAnsi="GillSans" w:cs="GillSans"/>
      <w:color w:val="00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ble Heading eading 4 Char"/>
    <w:basedOn w:val="DefaultParagraphFont"/>
    <w:link w:val="Heading4"/>
    <w:uiPriority w:val="9"/>
    <w:rsid w:val="0088168D"/>
    <w:rPr>
      <w:rFonts w:ascii="GillSans" w:hAnsi="GillSans" w:cs="GillSans"/>
      <w:color w:val="000000"/>
      <w:sz w:val="32"/>
      <w:szCs w:val="36"/>
    </w:rPr>
  </w:style>
  <w:style w:type="paragraph" w:styleId="Subtitle">
    <w:name w:val="Subtitle"/>
    <w:basedOn w:val="Normal"/>
    <w:next w:val="Normal"/>
    <w:link w:val="SubtitleChar"/>
    <w:uiPriority w:val="11"/>
    <w:qFormat/>
    <w:rsid w:val="0092389C"/>
    <w:pPr>
      <w:numPr>
        <w:ilvl w:val="1"/>
      </w:numPr>
      <w:spacing w:before="240" w:after="120" w:line="264" w:lineRule="auto"/>
    </w:pPr>
    <w:rPr>
      <w:rFonts w:asciiTheme="majorHAnsi" w:eastAsiaTheme="majorEastAsia" w:hAnsiTheme="majorHAnsi" w:cstheme="majorBidi"/>
      <w:iCs/>
      <w:color w:val="50535A" w:themeColor="text2"/>
      <w:spacing w:val="15"/>
      <w:sz w:val="36"/>
    </w:rPr>
  </w:style>
  <w:style w:type="character" w:customStyle="1" w:styleId="SubtitleChar">
    <w:name w:val="Subtitle Char"/>
    <w:basedOn w:val="DefaultParagraphFont"/>
    <w:link w:val="Subtitle"/>
    <w:uiPriority w:val="11"/>
    <w:rsid w:val="0092389C"/>
    <w:rPr>
      <w:rFonts w:asciiTheme="majorHAnsi" w:eastAsiaTheme="majorEastAsia" w:hAnsiTheme="majorHAnsi" w:cstheme="majorBidi"/>
      <w:iCs/>
      <w:color w:val="50535A" w:themeColor="text2"/>
      <w:spacing w:val="15"/>
      <w:sz w:val="36"/>
    </w:rPr>
  </w:style>
  <w:style w:type="paragraph" w:styleId="TOC2">
    <w:name w:val="toc 2"/>
    <w:basedOn w:val="Normal"/>
    <w:next w:val="Normal"/>
    <w:autoRedefine/>
    <w:uiPriority w:val="39"/>
    <w:unhideWhenUsed/>
    <w:rsid w:val="0092389C"/>
    <w:pPr>
      <w:tabs>
        <w:tab w:val="right" w:leader="dot" w:pos="9622"/>
      </w:tabs>
      <w:spacing w:line="264" w:lineRule="auto"/>
      <w:ind w:left="230"/>
    </w:pPr>
    <w:rPr>
      <w:b/>
      <w:sz w:val="23"/>
      <w:szCs w:val="22"/>
    </w:rPr>
  </w:style>
  <w:style w:type="paragraph" w:styleId="Header">
    <w:name w:val="header"/>
    <w:basedOn w:val="Normal"/>
    <w:link w:val="HeaderChar"/>
    <w:uiPriority w:val="99"/>
    <w:unhideWhenUsed/>
    <w:rsid w:val="003D25B3"/>
    <w:pPr>
      <w:tabs>
        <w:tab w:val="center" w:pos="4320"/>
        <w:tab w:val="right" w:pos="8640"/>
      </w:tabs>
    </w:pPr>
  </w:style>
  <w:style w:type="character" w:customStyle="1" w:styleId="HeaderChar">
    <w:name w:val="Header Char"/>
    <w:basedOn w:val="DefaultParagraphFont"/>
    <w:link w:val="Header"/>
    <w:uiPriority w:val="99"/>
    <w:rsid w:val="003D25B3"/>
    <w:rPr>
      <w:sz w:val="22"/>
    </w:rPr>
  </w:style>
  <w:style w:type="paragraph" w:styleId="Footer">
    <w:name w:val="footer"/>
    <w:basedOn w:val="Normal"/>
    <w:link w:val="FooterChar"/>
    <w:uiPriority w:val="99"/>
    <w:unhideWhenUsed/>
    <w:rsid w:val="003E7AD6"/>
    <w:pPr>
      <w:tabs>
        <w:tab w:val="center" w:pos="4320"/>
        <w:tab w:val="right" w:pos="8640"/>
      </w:tabs>
    </w:pPr>
    <w:rPr>
      <w:color w:val="50535A" w:themeColor="text2"/>
      <w:sz w:val="17"/>
    </w:rPr>
  </w:style>
  <w:style w:type="character" w:customStyle="1" w:styleId="FooterChar">
    <w:name w:val="Footer Char"/>
    <w:basedOn w:val="DefaultParagraphFont"/>
    <w:link w:val="Footer"/>
    <w:uiPriority w:val="99"/>
    <w:rsid w:val="003E7AD6"/>
    <w:rPr>
      <w:color w:val="50535A" w:themeColor="text2"/>
      <w:sz w:val="17"/>
    </w:rPr>
  </w:style>
  <w:style w:type="character" w:styleId="Hyperlink">
    <w:name w:val="Hyperlink"/>
    <w:basedOn w:val="DefaultParagraphFont"/>
    <w:uiPriority w:val="99"/>
    <w:unhideWhenUsed/>
    <w:rsid w:val="0077355C"/>
    <w:rPr>
      <w:color w:val="0A53A5" w:themeColor="hyperlink"/>
      <w:u w:val="single"/>
    </w:rPr>
  </w:style>
  <w:style w:type="character" w:styleId="FollowedHyperlink">
    <w:name w:val="FollowedHyperlink"/>
    <w:basedOn w:val="DefaultParagraphFont"/>
    <w:uiPriority w:val="99"/>
    <w:semiHidden/>
    <w:unhideWhenUsed/>
    <w:rsid w:val="003E7AD6"/>
    <w:rPr>
      <w:color w:val="118CDC" w:themeColor="followedHyperlink"/>
      <w:u w:val="single"/>
    </w:rPr>
  </w:style>
  <w:style w:type="paragraph" w:customStyle="1" w:styleId="Default">
    <w:name w:val="Default"/>
    <w:rsid w:val="007D5C5A"/>
    <w:pPr>
      <w:autoSpaceDE w:val="0"/>
      <w:autoSpaceDN w:val="0"/>
      <w:adjustRightInd w:val="0"/>
    </w:pPr>
    <w:rPr>
      <w:rFonts w:ascii="Arial Rounded MT Bold" w:hAnsi="Arial Rounded MT Bold" w:cs="Arial Rounded MT Bold"/>
      <w:color w:val="000000"/>
      <w:lang w:val="en-AU"/>
    </w:rPr>
  </w:style>
  <w:style w:type="table" w:styleId="TableGrid">
    <w:name w:val="Table Grid"/>
    <w:basedOn w:val="TableNormal"/>
    <w:uiPriority w:val="59"/>
    <w:rsid w:val="00F0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4FE"/>
    <w:rPr>
      <w:rFonts w:ascii="Tahoma" w:hAnsi="Tahoma" w:cs="Tahoma"/>
      <w:sz w:val="16"/>
      <w:szCs w:val="16"/>
    </w:rPr>
  </w:style>
  <w:style w:type="character" w:customStyle="1" w:styleId="BalloonTextChar">
    <w:name w:val="Balloon Text Char"/>
    <w:basedOn w:val="DefaultParagraphFont"/>
    <w:link w:val="BalloonText"/>
    <w:uiPriority w:val="99"/>
    <w:semiHidden/>
    <w:rsid w:val="00E964FE"/>
    <w:rPr>
      <w:rFonts w:ascii="Tahoma" w:hAnsi="Tahoma" w:cs="Tahoma"/>
      <w:sz w:val="16"/>
      <w:szCs w:val="16"/>
    </w:rPr>
  </w:style>
  <w:style w:type="paragraph" w:styleId="ListParagraph">
    <w:name w:val="List Paragraph"/>
    <w:basedOn w:val="Normal"/>
    <w:uiPriority w:val="34"/>
    <w:qFormat/>
    <w:rsid w:val="00AD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CYP">
  <a:themeElements>
    <a:clrScheme name="CCYP">
      <a:dk1>
        <a:sysClr val="windowText" lastClr="000000"/>
      </a:dk1>
      <a:lt1>
        <a:sysClr val="window" lastClr="FFFFFF"/>
      </a:lt1>
      <a:dk2>
        <a:srgbClr val="50535A"/>
      </a:dk2>
      <a:lt2>
        <a:srgbClr val="009FE3"/>
      </a:lt2>
      <a:accent1>
        <a:srgbClr val="0069B4"/>
      </a:accent1>
      <a:accent2>
        <a:srgbClr val="2E2B86"/>
      </a:accent2>
      <a:accent3>
        <a:srgbClr val="E6007E"/>
      </a:accent3>
      <a:accent4>
        <a:srgbClr val="AAC811"/>
      </a:accent4>
      <a:accent5>
        <a:srgbClr val="009640"/>
      </a:accent5>
      <a:accent6>
        <a:srgbClr val="DC6321"/>
      </a:accent6>
      <a:hlink>
        <a:srgbClr val="0A53A5"/>
      </a:hlink>
      <a:folHlink>
        <a:srgbClr val="118CDC"/>
      </a:folHlink>
    </a:clrScheme>
    <a:fontScheme name="Sky">
      <a:majorFont>
        <a:latin typeface="Arial Rounded MT Bold"/>
        <a:ea typeface=""/>
        <a:cs typeface=""/>
        <a:font script="Jpan" typeface="ＭＳ Ｐゴシック"/>
        <a:font script="Hans" typeface="宋体"/>
        <a:font script="Hant" typeface="新細明體"/>
      </a:majorFont>
      <a:minorFont>
        <a:latin typeface="Arial"/>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5CC9-B576-45CF-8DC0-C19EF542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Wilson</dc:creator>
  <cp:lastModifiedBy>Williams, Cathy J</cp:lastModifiedBy>
  <cp:revision>3</cp:revision>
  <cp:lastPrinted>2020-02-05T23:35:00Z</cp:lastPrinted>
  <dcterms:created xsi:type="dcterms:W3CDTF">2020-02-06T00:28:00Z</dcterms:created>
  <dcterms:modified xsi:type="dcterms:W3CDTF">2020-02-06T00:42:00Z</dcterms:modified>
</cp:coreProperties>
</file>